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675E7" w14:textId="31D76275" w:rsidR="003171AF" w:rsidRPr="00F432D4" w:rsidRDefault="00A23B06" w:rsidP="00CC7D8C">
      <w:pPr>
        <w:tabs>
          <w:tab w:val="left" w:pos="851"/>
        </w:tabs>
        <w:spacing w:before="120" w:after="120" w:line="240" w:lineRule="auto"/>
        <w:ind w:firstLine="567"/>
        <w:jc w:val="center"/>
        <w:rPr>
          <w:rFonts w:cs="Times New Roman"/>
          <w:b/>
          <w:bCs/>
          <w:szCs w:val="28"/>
        </w:rPr>
      </w:pPr>
      <w:bookmarkStart w:id="0" w:name="_GoBack"/>
      <w:bookmarkEnd w:id="0"/>
      <w:r>
        <w:rPr>
          <w:rFonts w:cs="Times New Roman"/>
          <w:b/>
          <w:bCs/>
          <w:szCs w:val="28"/>
        </w:rPr>
        <w:t>Phụ lục</w:t>
      </w:r>
      <w:r w:rsidR="00144180">
        <w:rPr>
          <w:rFonts w:cs="Times New Roman"/>
          <w:b/>
          <w:bCs/>
          <w:szCs w:val="28"/>
        </w:rPr>
        <w:t xml:space="preserve"> I</w:t>
      </w:r>
    </w:p>
    <w:p w14:paraId="3C55F9CE" w14:textId="2ABDF3D9" w:rsidR="003171AF" w:rsidRPr="00F432D4" w:rsidRDefault="003171AF" w:rsidP="00CC7D8C">
      <w:pPr>
        <w:tabs>
          <w:tab w:val="left" w:pos="851"/>
        </w:tabs>
        <w:spacing w:before="120" w:after="120" w:line="240" w:lineRule="auto"/>
        <w:ind w:firstLine="562"/>
        <w:jc w:val="center"/>
        <w:rPr>
          <w:rFonts w:cs="Times New Roman"/>
          <w:b/>
          <w:bCs/>
          <w:szCs w:val="28"/>
        </w:rPr>
      </w:pPr>
      <w:r w:rsidRPr="00F432D4">
        <w:rPr>
          <w:rFonts w:cs="Times New Roman"/>
          <w:b/>
          <w:bCs/>
          <w:szCs w:val="28"/>
        </w:rPr>
        <w:t>CẤU PHẦN VÀ CÁCH XÁC ĐỊNH VỐN TỰ CÓ</w:t>
      </w:r>
    </w:p>
    <w:p w14:paraId="495D3A56" w14:textId="5A2C5277" w:rsidR="003171AF" w:rsidRPr="00A23B06" w:rsidRDefault="003171AF" w:rsidP="00CC7D8C">
      <w:pPr>
        <w:tabs>
          <w:tab w:val="left" w:pos="851"/>
        </w:tabs>
        <w:spacing w:before="120" w:after="120" w:line="240" w:lineRule="auto"/>
        <w:jc w:val="center"/>
        <w:rPr>
          <w:rFonts w:cs="Times New Roman"/>
          <w:i/>
          <w:iCs/>
          <w:sz w:val="26"/>
          <w:szCs w:val="26"/>
        </w:rPr>
      </w:pPr>
      <w:r w:rsidRPr="00A23B06">
        <w:rPr>
          <w:rFonts w:cs="Times New Roman"/>
          <w:i/>
          <w:iCs/>
          <w:sz w:val="26"/>
          <w:szCs w:val="26"/>
        </w:rPr>
        <w:t>(</w:t>
      </w:r>
      <w:r w:rsidR="00A23B06" w:rsidRPr="00A23B06">
        <w:rPr>
          <w:rFonts w:cs="Times New Roman"/>
          <w:i/>
          <w:iCs/>
          <w:sz w:val="26"/>
          <w:szCs w:val="26"/>
        </w:rPr>
        <w:t>K</w:t>
      </w:r>
      <w:r w:rsidRPr="00A23B06">
        <w:rPr>
          <w:rFonts w:cs="Times New Roman"/>
          <w:i/>
          <w:iCs/>
          <w:sz w:val="26"/>
          <w:szCs w:val="26"/>
        </w:rPr>
        <w:t>èm theo Thông tư số        /2025/TT-NHNN ngày     tháng    năm 2025 của Thống đốc Ngân hàng Nhà nước Việt Nam)</w:t>
      </w:r>
    </w:p>
    <w:p w14:paraId="1893E1AB" w14:textId="51BB75FA" w:rsidR="003171AF" w:rsidRPr="00F432D4" w:rsidRDefault="00515B14" w:rsidP="00CC7D8C">
      <w:pPr>
        <w:tabs>
          <w:tab w:val="left" w:pos="851"/>
        </w:tabs>
        <w:spacing w:before="120" w:after="120" w:line="240" w:lineRule="auto"/>
        <w:ind w:firstLine="567"/>
        <w:jc w:val="center"/>
        <w:rPr>
          <w:rFonts w:cs="Times New Roman"/>
          <w:i/>
          <w:iCs/>
          <w:szCs w:val="28"/>
        </w:rPr>
      </w:pPr>
      <w:r>
        <w:rPr>
          <w:rFonts w:cs="Times New Roman"/>
          <w:i/>
          <w:iCs/>
          <w:noProof/>
          <w:szCs w:val="28"/>
          <w14:ligatures w14:val="none"/>
        </w:rPr>
        <mc:AlternateContent>
          <mc:Choice Requires="wps">
            <w:drawing>
              <wp:anchor distT="0" distB="0" distL="114300" distR="114300" simplePos="0" relativeHeight="251659264" behindDoc="0" locked="0" layoutInCell="1" allowOverlap="1" wp14:anchorId="1FA9D4CF" wp14:editId="0139007A">
                <wp:simplePos x="0" y="0"/>
                <wp:positionH relativeFrom="column">
                  <wp:posOffset>4208145</wp:posOffset>
                </wp:positionH>
                <wp:positionV relativeFrom="paragraph">
                  <wp:posOffset>36830</wp:posOffset>
                </wp:positionV>
                <wp:extent cx="12719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71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2B5AA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35pt,2.9pt" to="43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" strokecolor="black [3213]" strokeweight=".5pt">
                <v:stroke joinstyle="miter"/>
              </v:line>
            </w:pict>
          </mc:Fallback>
        </mc:AlternateContent>
      </w:r>
    </w:p>
    <w:p w14:paraId="7C450A39" w14:textId="4F6698BE" w:rsidR="003171AF" w:rsidRPr="00F432D4" w:rsidRDefault="003171AF" w:rsidP="00CC7D8C">
      <w:pPr>
        <w:tabs>
          <w:tab w:val="left" w:pos="851"/>
        </w:tabs>
        <w:spacing w:before="120" w:after="120" w:line="240" w:lineRule="auto"/>
        <w:ind w:firstLine="567"/>
        <w:jc w:val="both"/>
        <w:rPr>
          <w:rFonts w:cs="Times New Roman"/>
          <w:szCs w:val="28"/>
        </w:rPr>
      </w:pPr>
      <w:r w:rsidRPr="00F432D4">
        <w:rPr>
          <w:rFonts w:cs="Times New Roman"/>
          <w:b/>
          <w:bCs/>
          <w:szCs w:val="28"/>
        </w:rPr>
        <w:t>A. Cấu phần và cách xác định vốn tự có của ngân hàng</w:t>
      </w:r>
      <w:r w:rsidR="00694FD8">
        <w:rPr>
          <w:rFonts w:cs="Times New Roman"/>
          <w:b/>
          <w:bCs/>
          <w:szCs w:val="28"/>
        </w:rPr>
        <w:t xml:space="preserve"> thương mại</w:t>
      </w:r>
      <w:r w:rsidRPr="00F432D4">
        <w:rPr>
          <w:rFonts w:cs="Times New Roman"/>
          <w:b/>
          <w:bCs/>
          <w:szCs w:val="28"/>
        </w:rPr>
        <w:t>:</w:t>
      </w:r>
    </w:p>
    <w:p w14:paraId="7FA63A3E" w14:textId="77777777" w:rsidR="003171AF" w:rsidRPr="00F432D4" w:rsidRDefault="003171AF" w:rsidP="00CC7D8C">
      <w:pPr>
        <w:pStyle w:val="ListParagraph"/>
        <w:numPr>
          <w:ilvl w:val="0"/>
          <w:numId w:val="1"/>
        </w:numPr>
        <w:tabs>
          <w:tab w:val="left" w:pos="851"/>
        </w:tabs>
        <w:spacing w:before="120" w:after="120"/>
        <w:ind w:left="0" w:firstLine="567"/>
        <w:contextualSpacing w:val="0"/>
        <w:jc w:val="both"/>
        <w:rPr>
          <w:rFonts w:cs="Times New Roman"/>
          <w:b/>
          <w:bCs/>
          <w:szCs w:val="28"/>
        </w:rPr>
      </w:pPr>
      <w:r w:rsidRPr="00F432D4">
        <w:rPr>
          <w:rFonts w:cs="Times New Roman"/>
          <w:b/>
          <w:bCs/>
          <w:szCs w:val="28"/>
        </w:rPr>
        <w:t>Vốn tự có riêng lẻ</w:t>
      </w:r>
    </w:p>
    <w:p w14:paraId="27156160" w14:textId="77777777" w:rsidR="003171AF" w:rsidRPr="00F432D4" w:rsidRDefault="003171AF" w:rsidP="00CC7D8C">
      <w:pPr>
        <w:spacing w:before="120" w:after="120"/>
        <w:jc w:val="both"/>
        <w:rPr>
          <w:rFonts w:cs="Times New Roman"/>
          <w:b/>
          <w:bCs/>
          <w:sz w:val="2"/>
          <w:szCs w:val="28"/>
        </w:rPr>
      </w:pPr>
    </w:p>
    <w:tbl>
      <w:tblPr>
        <w:tblW w:w="475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A0" w:firstRow="1" w:lastRow="0" w:firstColumn="1" w:lastColumn="0" w:noHBand="0" w:noVBand="0"/>
      </w:tblPr>
      <w:tblGrid>
        <w:gridCol w:w="978"/>
        <w:gridCol w:w="5410"/>
        <w:gridCol w:w="7457"/>
      </w:tblGrid>
      <w:tr w:rsidR="003171AF" w:rsidRPr="009948F3" w14:paraId="239451A2" w14:textId="77777777" w:rsidTr="00EE693F">
        <w:trPr>
          <w:tblHeader/>
          <w:jc w:val="center"/>
        </w:trPr>
        <w:tc>
          <w:tcPr>
            <w:tcW w:w="978" w:type="dxa"/>
            <w:shd w:val="clear" w:color="auto" w:fill="auto"/>
            <w:vAlign w:val="center"/>
          </w:tcPr>
          <w:p w14:paraId="7A45554C" w14:textId="77777777" w:rsidR="003171AF" w:rsidRPr="00B63314" w:rsidRDefault="003171AF" w:rsidP="00CC7D8C">
            <w:pPr>
              <w:spacing w:before="120" w:after="120"/>
              <w:jc w:val="center"/>
              <w:rPr>
                <w:rFonts w:cs="Times New Roman"/>
                <w:b/>
                <w:bCs/>
                <w:sz w:val="24"/>
                <w:szCs w:val="24"/>
              </w:rPr>
            </w:pPr>
            <w:r w:rsidRPr="00B63314">
              <w:rPr>
                <w:rFonts w:cs="Times New Roman"/>
                <w:b/>
                <w:bCs/>
                <w:sz w:val="24"/>
                <w:szCs w:val="24"/>
              </w:rPr>
              <w:t>Mục</w:t>
            </w:r>
          </w:p>
        </w:tc>
        <w:tc>
          <w:tcPr>
            <w:tcW w:w="5410" w:type="dxa"/>
            <w:shd w:val="clear" w:color="auto" w:fill="auto"/>
            <w:noWrap/>
            <w:vAlign w:val="bottom"/>
          </w:tcPr>
          <w:p w14:paraId="50E63201" w14:textId="77777777" w:rsidR="003171AF" w:rsidRPr="00B63314" w:rsidRDefault="003171AF" w:rsidP="00CC7D8C">
            <w:pPr>
              <w:spacing w:before="120" w:after="120"/>
              <w:jc w:val="center"/>
              <w:rPr>
                <w:rFonts w:cs="Times New Roman"/>
                <w:b/>
                <w:bCs/>
                <w:sz w:val="24"/>
                <w:szCs w:val="24"/>
              </w:rPr>
            </w:pPr>
            <w:r w:rsidRPr="00B63314">
              <w:rPr>
                <w:rFonts w:cs="Times New Roman"/>
                <w:b/>
                <w:bCs/>
                <w:sz w:val="24"/>
                <w:szCs w:val="24"/>
              </w:rPr>
              <w:t>Cấu phần</w:t>
            </w:r>
          </w:p>
        </w:tc>
        <w:tc>
          <w:tcPr>
            <w:tcW w:w="7457" w:type="dxa"/>
          </w:tcPr>
          <w:p w14:paraId="2A1931B2" w14:textId="77777777" w:rsidR="003171AF" w:rsidRPr="00B63314" w:rsidRDefault="003171AF" w:rsidP="00CC7D8C">
            <w:pPr>
              <w:spacing w:before="120" w:after="120"/>
              <w:jc w:val="center"/>
              <w:rPr>
                <w:rFonts w:cs="Times New Roman"/>
                <w:b/>
                <w:bCs/>
                <w:sz w:val="24"/>
                <w:szCs w:val="24"/>
              </w:rPr>
            </w:pPr>
            <w:r w:rsidRPr="00B63314">
              <w:rPr>
                <w:rFonts w:cs="Times New Roman"/>
                <w:b/>
                <w:bCs/>
                <w:sz w:val="24"/>
                <w:szCs w:val="24"/>
              </w:rPr>
              <w:t>Cách xác định</w:t>
            </w:r>
          </w:p>
        </w:tc>
      </w:tr>
      <w:tr w:rsidR="003171AF" w:rsidRPr="009948F3" w14:paraId="7CF059C9" w14:textId="77777777" w:rsidTr="00EE693F">
        <w:trPr>
          <w:jc w:val="center"/>
        </w:trPr>
        <w:tc>
          <w:tcPr>
            <w:tcW w:w="978" w:type="dxa"/>
            <w:shd w:val="clear" w:color="auto" w:fill="auto"/>
            <w:noWrap/>
            <w:vAlign w:val="center"/>
          </w:tcPr>
          <w:p w14:paraId="0C0C70C6" w14:textId="77777777" w:rsidR="003171AF" w:rsidRPr="00B63314" w:rsidRDefault="003171AF" w:rsidP="00CC7D8C">
            <w:pPr>
              <w:spacing w:before="120" w:after="120"/>
              <w:jc w:val="center"/>
              <w:rPr>
                <w:rFonts w:cs="Times New Roman"/>
                <w:sz w:val="24"/>
                <w:szCs w:val="24"/>
              </w:rPr>
            </w:pPr>
          </w:p>
        </w:tc>
        <w:tc>
          <w:tcPr>
            <w:tcW w:w="5410" w:type="dxa"/>
            <w:shd w:val="clear" w:color="auto" w:fill="auto"/>
            <w:vAlign w:val="center"/>
          </w:tcPr>
          <w:p w14:paraId="544F02E4" w14:textId="77777777" w:rsidR="003171AF" w:rsidRPr="00B63314" w:rsidRDefault="003171AF" w:rsidP="00CC7D8C">
            <w:pPr>
              <w:spacing w:before="120" w:after="120"/>
              <w:jc w:val="both"/>
              <w:rPr>
                <w:rFonts w:cs="Times New Roman"/>
                <w:b/>
                <w:bCs/>
                <w:i/>
                <w:iCs/>
                <w:sz w:val="24"/>
                <w:szCs w:val="24"/>
                <w:lang w:val="pt-BR"/>
              </w:rPr>
            </w:pPr>
            <w:r w:rsidRPr="00B63314">
              <w:rPr>
                <w:rFonts w:cs="Times New Roman"/>
                <w:b/>
                <w:bCs/>
                <w:i/>
                <w:iCs/>
                <w:sz w:val="24"/>
                <w:szCs w:val="24"/>
                <w:lang w:val="pt-BR"/>
              </w:rPr>
              <w:t xml:space="preserve">VỐN CẤP 1 (A) = A1 + A2 </w:t>
            </w:r>
          </w:p>
        </w:tc>
        <w:tc>
          <w:tcPr>
            <w:tcW w:w="7457" w:type="dxa"/>
          </w:tcPr>
          <w:p w14:paraId="762ED00C" w14:textId="77777777" w:rsidR="003171AF" w:rsidRPr="00B63314" w:rsidRDefault="003171AF" w:rsidP="00CC7D8C">
            <w:pPr>
              <w:spacing w:before="120" w:after="120"/>
              <w:jc w:val="both"/>
              <w:rPr>
                <w:rFonts w:cs="Times New Roman"/>
                <w:sz w:val="24"/>
                <w:szCs w:val="24"/>
                <w:lang w:val="pt-BR"/>
              </w:rPr>
            </w:pPr>
          </w:p>
        </w:tc>
      </w:tr>
      <w:tr w:rsidR="003171AF" w:rsidRPr="009948F3" w14:paraId="28D51980" w14:textId="77777777" w:rsidTr="00EE693F">
        <w:trPr>
          <w:jc w:val="center"/>
        </w:trPr>
        <w:tc>
          <w:tcPr>
            <w:tcW w:w="978" w:type="dxa"/>
            <w:shd w:val="clear" w:color="auto" w:fill="auto"/>
            <w:noWrap/>
            <w:vAlign w:val="center"/>
          </w:tcPr>
          <w:p w14:paraId="2BB176C5" w14:textId="77777777" w:rsidR="003171AF" w:rsidRPr="00B63314" w:rsidRDefault="003171AF" w:rsidP="00CC7D8C">
            <w:pPr>
              <w:spacing w:before="120" w:after="120"/>
              <w:jc w:val="center"/>
              <w:rPr>
                <w:rFonts w:cs="Times New Roman"/>
                <w:sz w:val="24"/>
                <w:szCs w:val="24"/>
                <w:lang w:val="pt-BR"/>
              </w:rPr>
            </w:pPr>
          </w:p>
        </w:tc>
        <w:tc>
          <w:tcPr>
            <w:tcW w:w="5410" w:type="dxa"/>
            <w:shd w:val="clear" w:color="auto" w:fill="auto"/>
            <w:vAlign w:val="center"/>
          </w:tcPr>
          <w:p w14:paraId="52263C0E" w14:textId="77777777" w:rsidR="003171AF" w:rsidRPr="00B63314" w:rsidRDefault="003171AF" w:rsidP="00CC7D8C">
            <w:pPr>
              <w:spacing w:before="120" w:after="120"/>
              <w:jc w:val="both"/>
              <w:rPr>
                <w:rFonts w:cs="Times New Roman"/>
                <w:i/>
                <w:iCs/>
                <w:sz w:val="24"/>
                <w:szCs w:val="24"/>
                <w:lang w:val="pt-BR"/>
              </w:rPr>
            </w:pPr>
            <w:r w:rsidRPr="00B63314">
              <w:rPr>
                <w:rFonts w:cs="Times New Roman"/>
                <w:b/>
                <w:bCs/>
                <w:i/>
                <w:iCs/>
                <w:sz w:val="24"/>
                <w:szCs w:val="24"/>
                <w:lang w:val="pt-BR"/>
              </w:rPr>
              <w:t>Vốn lõi cấp 1(A1) = A11 – A12</w:t>
            </w:r>
          </w:p>
        </w:tc>
        <w:tc>
          <w:tcPr>
            <w:tcW w:w="7457" w:type="dxa"/>
          </w:tcPr>
          <w:p w14:paraId="1FDAD2C9" w14:textId="77777777" w:rsidR="003171AF" w:rsidRPr="00B63314" w:rsidRDefault="003171AF" w:rsidP="00CC7D8C">
            <w:pPr>
              <w:spacing w:before="120" w:after="120"/>
              <w:jc w:val="both"/>
              <w:rPr>
                <w:rFonts w:cs="Times New Roman"/>
                <w:b/>
                <w:bCs/>
                <w:sz w:val="24"/>
                <w:szCs w:val="24"/>
                <w:lang w:val="pt-BR"/>
              </w:rPr>
            </w:pPr>
          </w:p>
        </w:tc>
      </w:tr>
      <w:tr w:rsidR="003171AF" w:rsidRPr="009948F3" w14:paraId="6306049F" w14:textId="77777777" w:rsidTr="00EE693F">
        <w:trPr>
          <w:jc w:val="center"/>
        </w:trPr>
        <w:tc>
          <w:tcPr>
            <w:tcW w:w="978" w:type="dxa"/>
            <w:shd w:val="clear" w:color="auto" w:fill="auto"/>
            <w:noWrap/>
            <w:vAlign w:val="center"/>
          </w:tcPr>
          <w:p w14:paraId="12400AFC" w14:textId="77777777" w:rsidR="003171AF" w:rsidRPr="00B63314" w:rsidRDefault="003171AF" w:rsidP="00CC7D8C">
            <w:pPr>
              <w:spacing w:before="120" w:after="120"/>
              <w:jc w:val="center"/>
              <w:rPr>
                <w:rFonts w:cs="Times New Roman"/>
                <w:sz w:val="24"/>
                <w:szCs w:val="24"/>
                <w:lang w:val="pt-BR"/>
              </w:rPr>
            </w:pPr>
          </w:p>
        </w:tc>
        <w:tc>
          <w:tcPr>
            <w:tcW w:w="5410" w:type="dxa"/>
            <w:shd w:val="clear" w:color="auto" w:fill="auto"/>
            <w:vAlign w:val="center"/>
          </w:tcPr>
          <w:p w14:paraId="3DF223F6" w14:textId="38A37990" w:rsidR="003171AF" w:rsidRPr="00B63314" w:rsidRDefault="003171AF" w:rsidP="00CC7D8C">
            <w:pPr>
              <w:spacing w:before="120" w:after="120"/>
              <w:jc w:val="both"/>
              <w:rPr>
                <w:rFonts w:cs="Times New Roman"/>
                <w:b/>
                <w:bCs/>
                <w:i/>
                <w:iCs/>
                <w:sz w:val="24"/>
                <w:szCs w:val="24"/>
                <w:lang w:val="pt-BR"/>
              </w:rPr>
            </w:pPr>
            <w:r w:rsidRPr="00B63314">
              <w:rPr>
                <w:rFonts w:cs="Times New Roman"/>
                <w:b/>
                <w:bCs/>
                <w:i/>
                <w:iCs/>
                <w:sz w:val="24"/>
                <w:szCs w:val="24"/>
                <w:lang w:val="pt-BR"/>
              </w:rPr>
              <w:t>Vốn lõi cấp 1 chưa giảm trừ (A11)=</w:t>
            </w:r>
            <w:r w:rsidRPr="00B63314">
              <w:rPr>
                <w:rFonts w:cs="Times New Roman"/>
                <w:b/>
                <w:bCs/>
                <w:color w:val="000000"/>
                <w:sz w:val="24"/>
                <w:szCs w:val="24"/>
                <w:shd w:val="clear" w:color="auto" w:fill="FFFFFF"/>
                <w:lang w:val="pt-BR"/>
              </w:rPr>
              <w:t xml:space="preserve"> </w:t>
            </w:r>
            <w:r w:rsidRPr="00B63314">
              <w:rPr>
                <w:rFonts w:cs="Times New Roman"/>
                <w:b/>
                <w:bCs/>
                <w:i/>
                <w:iCs/>
                <w:sz w:val="24"/>
                <w:szCs w:val="24"/>
                <w:lang w:val="pt-BR"/>
              </w:rPr>
              <w:t>∑</w:t>
            </w:r>
            <w:r w:rsidR="00160DD8">
              <w:rPr>
                <w:rFonts w:cs="Times New Roman"/>
                <w:b/>
                <w:bCs/>
                <w:i/>
                <w:iCs/>
                <w:sz w:val="24"/>
                <w:szCs w:val="24"/>
                <w:lang w:val="pt-BR"/>
              </w:rPr>
              <w:t>(</w:t>
            </w:r>
            <w:r w:rsidRPr="00B63314">
              <w:rPr>
                <w:rFonts w:cs="Times New Roman"/>
                <w:b/>
                <w:bCs/>
                <w:i/>
                <w:iCs/>
                <w:sz w:val="24"/>
                <w:szCs w:val="24"/>
                <w:lang w:val="pt-BR"/>
              </w:rPr>
              <w:t>1</w:t>
            </w:r>
            <w:r w:rsidR="00160DD8">
              <w:rPr>
                <w:rFonts w:cs="Times New Roman"/>
                <w:b/>
                <w:bCs/>
                <w:i/>
                <w:iCs/>
                <w:sz w:val="24"/>
                <w:szCs w:val="24"/>
                <w:lang w:val="pt-BR"/>
              </w:rPr>
              <w:t>)</w:t>
            </w:r>
            <w:r w:rsidRPr="00B63314">
              <w:rPr>
                <w:rFonts w:cs="Times New Roman"/>
                <w:b/>
                <w:bCs/>
                <w:i/>
                <w:iCs/>
                <w:sz w:val="24"/>
                <w:szCs w:val="24"/>
                <w:lang w:val="pt-BR"/>
              </w:rPr>
              <w:t xml:space="preserve"> ÷ </w:t>
            </w:r>
            <w:r w:rsidR="00160DD8">
              <w:rPr>
                <w:rFonts w:cs="Times New Roman"/>
                <w:b/>
                <w:bCs/>
                <w:i/>
                <w:iCs/>
                <w:sz w:val="24"/>
                <w:szCs w:val="24"/>
                <w:lang w:val="pt-BR"/>
              </w:rPr>
              <w:t>(</w:t>
            </w:r>
            <w:r w:rsidRPr="00B63314">
              <w:rPr>
                <w:rFonts w:cs="Times New Roman"/>
                <w:b/>
                <w:bCs/>
                <w:i/>
                <w:iCs/>
                <w:sz w:val="24"/>
                <w:szCs w:val="24"/>
                <w:lang w:val="pt-BR"/>
              </w:rPr>
              <w:t>10</w:t>
            </w:r>
            <w:r w:rsidR="00160DD8">
              <w:rPr>
                <w:rFonts w:cs="Times New Roman"/>
                <w:b/>
                <w:bCs/>
                <w:i/>
                <w:iCs/>
                <w:sz w:val="24"/>
                <w:szCs w:val="24"/>
                <w:lang w:val="pt-BR"/>
              </w:rPr>
              <w:t>)</w:t>
            </w:r>
          </w:p>
        </w:tc>
        <w:tc>
          <w:tcPr>
            <w:tcW w:w="7457" w:type="dxa"/>
          </w:tcPr>
          <w:p w14:paraId="0D5A79F9" w14:textId="77777777" w:rsidR="003171AF" w:rsidRPr="00B63314" w:rsidRDefault="003171AF" w:rsidP="00CC7D8C">
            <w:pPr>
              <w:spacing w:before="120" w:after="120"/>
              <w:jc w:val="both"/>
              <w:rPr>
                <w:rFonts w:cs="Times New Roman"/>
                <w:b/>
                <w:bCs/>
                <w:sz w:val="24"/>
                <w:szCs w:val="24"/>
                <w:lang w:val="pt-BR"/>
              </w:rPr>
            </w:pPr>
          </w:p>
        </w:tc>
      </w:tr>
      <w:tr w:rsidR="003171AF" w:rsidRPr="009948F3" w14:paraId="5ABC1D8F" w14:textId="77777777" w:rsidTr="00EE693F">
        <w:trPr>
          <w:jc w:val="center"/>
        </w:trPr>
        <w:tc>
          <w:tcPr>
            <w:tcW w:w="978" w:type="dxa"/>
            <w:shd w:val="clear" w:color="auto" w:fill="auto"/>
            <w:vAlign w:val="center"/>
          </w:tcPr>
          <w:p w14:paraId="78EC2651"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w:t>
            </w:r>
          </w:p>
        </w:tc>
        <w:tc>
          <w:tcPr>
            <w:tcW w:w="5410" w:type="dxa"/>
            <w:shd w:val="clear" w:color="auto" w:fill="auto"/>
            <w:vAlign w:val="center"/>
          </w:tcPr>
          <w:p w14:paraId="1686FA79"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Vốn điều lệ (vốn đã góp)</w:t>
            </w:r>
          </w:p>
        </w:tc>
        <w:tc>
          <w:tcPr>
            <w:tcW w:w="7457" w:type="dxa"/>
          </w:tcPr>
          <w:p w14:paraId="5343AFF9" w14:textId="5EBB9A74" w:rsidR="003171AF" w:rsidRPr="00B63314" w:rsidRDefault="003171AF" w:rsidP="00CC7D8C">
            <w:pPr>
              <w:spacing w:before="120" w:after="120"/>
              <w:jc w:val="both"/>
              <w:rPr>
                <w:rFonts w:cs="Times New Roman"/>
                <w:sz w:val="24"/>
                <w:szCs w:val="24"/>
              </w:rPr>
            </w:pPr>
            <w:r w:rsidRPr="00B63314">
              <w:rPr>
                <w:rFonts w:cs="Times New Roman"/>
                <w:sz w:val="24"/>
                <w:szCs w:val="24"/>
              </w:rPr>
              <w:t>Lấy số liệu tại khoản mục</w:t>
            </w:r>
            <w:r w:rsidRPr="00B63314">
              <w:rPr>
                <w:rFonts w:cs="Times New Roman"/>
                <w:b/>
                <w:bCs/>
                <w:sz w:val="24"/>
                <w:szCs w:val="24"/>
              </w:rPr>
              <w:t> Vốn điều lệ</w:t>
            </w:r>
            <w:r w:rsidRPr="00B63314">
              <w:rPr>
                <w:rFonts w:cs="Times New Roman"/>
                <w:sz w:val="24"/>
                <w:szCs w:val="24"/>
              </w:rPr>
              <w:t> trên Báo cáo tình hình tài chính được lập theo số liệu Bảng cân đối tài khoản kế toán.</w:t>
            </w:r>
          </w:p>
          <w:p w14:paraId="66C2D040"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Đối với ngân hàng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3171AF" w:rsidRPr="009948F3" w14:paraId="05640391" w14:textId="77777777" w:rsidTr="00EE693F">
        <w:trPr>
          <w:jc w:val="center"/>
        </w:trPr>
        <w:tc>
          <w:tcPr>
            <w:tcW w:w="978" w:type="dxa"/>
            <w:shd w:val="clear" w:color="auto" w:fill="auto"/>
            <w:vAlign w:val="center"/>
          </w:tcPr>
          <w:p w14:paraId="7DC6EFE1"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(2)</w:t>
            </w:r>
          </w:p>
        </w:tc>
        <w:tc>
          <w:tcPr>
            <w:tcW w:w="5410" w:type="dxa"/>
            <w:shd w:val="clear" w:color="auto" w:fill="auto"/>
            <w:vAlign w:val="center"/>
          </w:tcPr>
          <w:p w14:paraId="53ED9162"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Quỹ dự trữ bổ sung vốn điều lệ</w:t>
            </w:r>
          </w:p>
        </w:tc>
        <w:tc>
          <w:tcPr>
            <w:tcW w:w="7457" w:type="dxa"/>
          </w:tcPr>
          <w:p w14:paraId="5BEF462D"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Lấy số liệu Quỹ dự trữ bổ sung vốn điều lệ trong khoản mục </w:t>
            </w:r>
            <w:r w:rsidRPr="00B63314">
              <w:rPr>
                <w:rFonts w:cs="Times New Roman"/>
                <w:b/>
                <w:bCs/>
                <w:sz w:val="24"/>
                <w:szCs w:val="24"/>
              </w:rPr>
              <w:t>Quỹ của tổ chức tín dụng</w:t>
            </w:r>
            <w:r w:rsidRPr="00B63314">
              <w:rPr>
                <w:rFonts w:cs="Times New Roman"/>
                <w:sz w:val="24"/>
                <w:szCs w:val="24"/>
              </w:rPr>
              <w:t> trên Báo cáo tình hình tài chính được lập theo số liệu Bảng cân đối tài khoản kế toán.</w:t>
            </w:r>
          </w:p>
        </w:tc>
      </w:tr>
      <w:tr w:rsidR="003171AF" w:rsidRPr="009948F3" w14:paraId="3B7D39F9" w14:textId="77777777" w:rsidTr="00EE693F">
        <w:trPr>
          <w:jc w:val="center"/>
        </w:trPr>
        <w:tc>
          <w:tcPr>
            <w:tcW w:w="978" w:type="dxa"/>
            <w:shd w:val="clear" w:color="auto" w:fill="auto"/>
            <w:vAlign w:val="center"/>
          </w:tcPr>
          <w:p w14:paraId="68E995A2"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(3)</w:t>
            </w:r>
          </w:p>
        </w:tc>
        <w:tc>
          <w:tcPr>
            <w:tcW w:w="5410" w:type="dxa"/>
            <w:shd w:val="clear" w:color="auto" w:fill="auto"/>
            <w:vAlign w:val="center"/>
          </w:tcPr>
          <w:p w14:paraId="641E5E63"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Quỹ đầu tư phát triển </w:t>
            </w:r>
          </w:p>
        </w:tc>
        <w:tc>
          <w:tcPr>
            <w:tcW w:w="7457" w:type="dxa"/>
          </w:tcPr>
          <w:p w14:paraId="7C17E370"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Lấy số liệu Quỹ đầu tư phát triển trong khoản mục</w:t>
            </w:r>
            <w:r w:rsidRPr="00B63314">
              <w:rPr>
                <w:rFonts w:cs="Times New Roman"/>
                <w:b/>
                <w:bCs/>
                <w:sz w:val="24"/>
                <w:szCs w:val="24"/>
              </w:rPr>
              <w:t> Quỹ của tổ chức tín dụng</w:t>
            </w:r>
            <w:r w:rsidRPr="00B63314">
              <w:rPr>
                <w:rFonts w:cs="Times New Roman"/>
                <w:sz w:val="24"/>
                <w:szCs w:val="24"/>
              </w:rPr>
              <w:t> trên Báo cáo tình hình tài chính được lập theo số liệu Bảng cân đối tài khoản kế toán.</w:t>
            </w:r>
          </w:p>
        </w:tc>
      </w:tr>
      <w:tr w:rsidR="003171AF" w:rsidRPr="009948F3" w14:paraId="5927BDB0" w14:textId="77777777" w:rsidTr="00EE693F">
        <w:trPr>
          <w:jc w:val="center"/>
        </w:trPr>
        <w:tc>
          <w:tcPr>
            <w:tcW w:w="978" w:type="dxa"/>
            <w:shd w:val="clear" w:color="auto" w:fill="auto"/>
            <w:vAlign w:val="center"/>
          </w:tcPr>
          <w:p w14:paraId="4E25C9B7"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lastRenderedPageBreak/>
              <w:t>(4)</w:t>
            </w:r>
          </w:p>
        </w:tc>
        <w:tc>
          <w:tcPr>
            <w:tcW w:w="5410" w:type="dxa"/>
            <w:shd w:val="clear" w:color="auto" w:fill="auto"/>
            <w:vAlign w:val="center"/>
          </w:tcPr>
          <w:p w14:paraId="1AB85D88"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Quỹ dự phòng tài chính</w:t>
            </w:r>
          </w:p>
        </w:tc>
        <w:tc>
          <w:tcPr>
            <w:tcW w:w="7457" w:type="dxa"/>
          </w:tcPr>
          <w:p w14:paraId="2DE8DB09"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Lấy số liệu Quỹ dự phòng tài chính trong khoản mục</w:t>
            </w:r>
            <w:r w:rsidRPr="00B63314">
              <w:rPr>
                <w:rFonts w:cs="Times New Roman"/>
                <w:b/>
                <w:bCs/>
                <w:sz w:val="24"/>
                <w:szCs w:val="24"/>
              </w:rPr>
              <w:t> Quỹ của tổ chức tín dụng</w:t>
            </w:r>
            <w:r w:rsidRPr="00B63314">
              <w:rPr>
                <w:rFonts w:cs="Times New Roman"/>
                <w:sz w:val="24"/>
                <w:szCs w:val="24"/>
              </w:rPr>
              <w:t> trên Báo cáo tình hình tài chính được lập theo số liệu Bảng cân đối tài khoản kế toán.</w:t>
            </w:r>
          </w:p>
        </w:tc>
      </w:tr>
      <w:tr w:rsidR="003171AF" w:rsidRPr="009948F3" w14:paraId="535168C9" w14:textId="77777777" w:rsidTr="00EE693F">
        <w:trPr>
          <w:jc w:val="center"/>
        </w:trPr>
        <w:tc>
          <w:tcPr>
            <w:tcW w:w="978" w:type="dxa"/>
            <w:shd w:val="clear" w:color="auto" w:fill="auto"/>
            <w:vAlign w:val="center"/>
          </w:tcPr>
          <w:p w14:paraId="64A4E579"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(5)</w:t>
            </w:r>
          </w:p>
        </w:tc>
        <w:tc>
          <w:tcPr>
            <w:tcW w:w="5410" w:type="dxa"/>
            <w:shd w:val="clear" w:color="auto" w:fill="auto"/>
            <w:vAlign w:val="center"/>
          </w:tcPr>
          <w:p w14:paraId="25043950"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Các quỹ khác được trích từ lợi nhuận sau thuế thu nhập doanh nghiệp theo quy định của pháp luật (không bao gồm quỹ khen thưởng, phúc lợi, quỹ thưởng ban điều hành)</w:t>
            </w:r>
          </w:p>
        </w:tc>
        <w:tc>
          <w:tcPr>
            <w:tcW w:w="7457" w:type="dxa"/>
          </w:tcPr>
          <w:p w14:paraId="2E176A2F"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Lấy số liệu Quỹ khác trong khoản mục</w:t>
            </w:r>
            <w:r w:rsidRPr="00B63314">
              <w:rPr>
                <w:rFonts w:cs="Times New Roman"/>
                <w:b/>
                <w:bCs/>
                <w:sz w:val="24"/>
                <w:szCs w:val="24"/>
              </w:rPr>
              <w:t> Quỹ của tổ chức tín dụng</w:t>
            </w:r>
            <w:r w:rsidRPr="00B63314">
              <w:rPr>
                <w:rFonts w:cs="Times New Roman"/>
                <w:sz w:val="24"/>
                <w:szCs w:val="24"/>
              </w:rPr>
              <w:t> trên Báo cáo tình hình tài chính được lập theo số liệu Bảng cân đối tài khoản kế toán.</w:t>
            </w:r>
          </w:p>
        </w:tc>
      </w:tr>
      <w:tr w:rsidR="003171AF" w:rsidRPr="009948F3" w14:paraId="4E268209" w14:textId="77777777" w:rsidTr="00EE693F">
        <w:trPr>
          <w:jc w:val="center"/>
        </w:trPr>
        <w:tc>
          <w:tcPr>
            <w:tcW w:w="978" w:type="dxa"/>
            <w:shd w:val="clear" w:color="auto" w:fill="auto"/>
            <w:vAlign w:val="center"/>
          </w:tcPr>
          <w:p w14:paraId="752DCD72"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(6)</w:t>
            </w:r>
          </w:p>
        </w:tc>
        <w:tc>
          <w:tcPr>
            <w:tcW w:w="5410" w:type="dxa"/>
            <w:shd w:val="clear" w:color="auto" w:fill="auto"/>
            <w:vAlign w:val="center"/>
          </w:tcPr>
          <w:p w14:paraId="792F73DD" w14:textId="77777777" w:rsidR="003171AF" w:rsidRPr="00B63314" w:rsidRDefault="003171AF" w:rsidP="00CC7D8C">
            <w:pPr>
              <w:spacing w:before="120" w:after="120"/>
              <w:jc w:val="both"/>
              <w:rPr>
                <w:rFonts w:cs="Times New Roman"/>
                <w:i/>
                <w:iCs/>
                <w:sz w:val="24"/>
                <w:szCs w:val="24"/>
              </w:rPr>
            </w:pPr>
            <w:r w:rsidRPr="00B63314">
              <w:rPr>
                <w:rFonts w:cs="Times New Roman"/>
                <w:sz w:val="24"/>
                <w:szCs w:val="24"/>
              </w:rPr>
              <w:t>Vốn đầu tư xây dựng cơ bản, mua sắm tài sản cố định</w:t>
            </w:r>
          </w:p>
        </w:tc>
        <w:tc>
          <w:tcPr>
            <w:tcW w:w="7457" w:type="dxa"/>
          </w:tcPr>
          <w:p w14:paraId="2C7CE33E"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Vốn đầu tư xây dựng cơ bản, mua sắm tài sản cố định</w:t>
            </w:r>
            <w:r w:rsidRPr="00B63314">
              <w:rPr>
                <w:rFonts w:cs="Times New Roman"/>
                <w:sz w:val="24"/>
                <w:szCs w:val="24"/>
              </w:rPr>
              <w:t xml:space="preserve"> trên Báo cáo tình hình tài chính được lập theo số liệu Bảng cân đối tài khoản kế toán.</w:t>
            </w:r>
          </w:p>
        </w:tc>
      </w:tr>
      <w:tr w:rsidR="003171AF" w:rsidRPr="009948F3" w14:paraId="081F35E8" w14:textId="77777777" w:rsidTr="00EE693F">
        <w:trPr>
          <w:jc w:val="center"/>
        </w:trPr>
        <w:tc>
          <w:tcPr>
            <w:tcW w:w="978" w:type="dxa"/>
            <w:shd w:val="clear" w:color="auto" w:fill="auto"/>
            <w:vAlign w:val="center"/>
          </w:tcPr>
          <w:p w14:paraId="36577C2C"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(7)</w:t>
            </w:r>
          </w:p>
        </w:tc>
        <w:tc>
          <w:tcPr>
            <w:tcW w:w="5410" w:type="dxa"/>
            <w:shd w:val="clear" w:color="auto" w:fill="auto"/>
            <w:vAlign w:val="center"/>
          </w:tcPr>
          <w:p w14:paraId="554362D9"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Vốn khác</w:t>
            </w:r>
          </w:p>
        </w:tc>
        <w:tc>
          <w:tcPr>
            <w:tcW w:w="7457" w:type="dxa"/>
          </w:tcPr>
          <w:p w14:paraId="153407E2"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Vốn khác</w:t>
            </w:r>
            <w:r w:rsidRPr="00B63314">
              <w:rPr>
                <w:rFonts w:cs="Times New Roman"/>
                <w:sz w:val="24"/>
                <w:szCs w:val="24"/>
              </w:rPr>
              <w:t xml:space="preserve"> trên Báo cáo tình hình tài chính được lập theo số liệu Bảng cân đối tài khoản kế toán.</w:t>
            </w:r>
          </w:p>
        </w:tc>
      </w:tr>
      <w:tr w:rsidR="003171AF" w:rsidRPr="009948F3" w14:paraId="52C27065" w14:textId="77777777" w:rsidTr="00EE693F">
        <w:trPr>
          <w:jc w:val="center"/>
        </w:trPr>
        <w:tc>
          <w:tcPr>
            <w:tcW w:w="978" w:type="dxa"/>
            <w:shd w:val="clear" w:color="auto" w:fill="auto"/>
            <w:vAlign w:val="center"/>
          </w:tcPr>
          <w:p w14:paraId="3063BFBA"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(8)</w:t>
            </w:r>
          </w:p>
        </w:tc>
        <w:tc>
          <w:tcPr>
            <w:tcW w:w="5410" w:type="dxa"/>
            <w:shd w:val="clear" w:color="auto" w:fill="auto"/>
            <w:vAlign w:val="center"/>
          </w:tcPr>
          <w:p w14:paraId="7DBF101E"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Lợi nhuận chưa phân phối</w:t>
            </w:r>
          </w:p>
        </w:tc>
        <w:tc>
          <w:tcPr>
            <w:tcW w:w="7457" w:type="dxa"/>
          </w:tcPr>
          <w:p w14:paraId="25DA4F07"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Lợi nhuận chưa phân phối</w:t>
            </w:r>
            <w:r w:rsidRPr="00B63314">
              <w:rPr>
                <w:rFonts w:cs="Times New Roman"/>
                <w:sz w:val="24"/>
                <w:szCs w:val="24"/>
              </w:rPr>
              <w:t xml:space="preserve"> trên Báo cáo tình hình tài chính được lập theo số liệu Bảng cân đối tài khoản kế toán tại thời điểm tính tỷ lệ </w:t>
            </w:r>
            <w:proofErr w:type="gramStart"/>
            <w:r w:rsidRPr="00B63314">
              <w:rPr>
                <w:rFonts w:cs="Times New Roman"/>
                <w:sz w:val="24"/>
                <w:szCs w:val="24"/>
              </w:rPr>
              <w:t>an</w:t>
            </w:r>
            <w:proofErr w:type="gramEnd"/>
            <w:r w:rsidRPr="00B63314">
              <w:rPr>
                <w:rFonts w:cs="Times New Roman"/>
                <w:sz w:val="24"/>
                <w:szCs w:val="24"/>
              </w:rPr>
              <w:t xml:space="preserve"> toàn vốn tối thiểu riêng lẻ.</w:t>
            </w:r>
          </w:p>
          <w:p w14:paraId="43168A3F"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Đối với ngân hàng được chấp thuận hoãn, giãn trích lập dự phòng rủi ro, lợi nhuận chưa phân phối phải trừ đi chênh lệch dương giữa số dự phòng rủi ro phải trích theo quy định của pháp luật về </w:t>
            </w:r>
            <w:r w:rsidRPr="00B63314">
              <w:rPr>
                <w:rFonts w:cs="Times New Roman"/>
                <w:sz w:val="24"/>
                <w:szCs w:val="24"/>
                <w:lang w:val="vi-VN"/>
              </w:rPr>
              <w:t>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w:t>
            </w:r>
            <w:r w:rsidRPr="00B63314">
              <w:rPr>
                <w:rFonts w:cs="Times New Roman"/>
                <w:sz w:val="24"/>
                <w:szCs w:val="24"/>
              </w:rPr>
              <w:t xml:space="preserve"> so với số dự phòng rủi ro đã trích.</w:t>
            </w:r>
          </w:p>
        </w:tc>
      </w:tr>
      <w:tr w:rsidR="003171AF" w:rsidRPr="009948F3" w14:paraId="13D721A2" w14:textId="77777777" w:rsidTr="00EE693F">
        <w:trPr>
          <w:jc w:val="center"/>
        </w:trPr>
        <w:tc>
          <w:tcPr>
            <w:tcW w:w="978" w:type="dxa"/>
            <w:shd w:val="clear" w:color="auto" w:fill="auto"/>
            <w:vAlign w:val="center"/>
          </w:tcPr>
          <w:p w14:paraId="085EC6E9"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lastRenderedPageBreak/>
              <w:t>(9)</w:t>
            </w:r>
          </w:p>
        </w:tc>
        <w:tc>
          <w:tcPr>
            <w:tcW w:w="5410" w:type="dxa"/>
            <w:shd w:val="clear" w:color="auto" w:fill="auto"/>
            <w:vAlign w:val="center"/>
          </w:tcPr>
          <w:p w14:paraId="3701818E"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Thặng dư vốn cổ phần của cổ phần phổ thông</w:t>
            </w:r>
          </w:p>
        </w:tc>
        <w:tc>
          <w:tcPr>
            <w:tcW w:w="7457" w:type="dxa"/>
          </w:tcPr>
          <w:p w14:paraId="4FD4052B"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Thặng dư vốn cổ phần</w:t>
            </w:r>
            <w:r w:rsidRPr="00B63314">
              <w:rPr>
                <w:rFonts w:cs="Times New Roman"/>
                <w:sz w:val="24"/>
                <w:szCs w:val="24"/>
              </w:rPr>
              <w:t xml:space="preserve"> trên Báo cáo tình hình tài chính (được lập theo số liệu Bảng cân đối tài khoản kế toán) nhân với tỷ trọng của cổ phần phổ thông trên tổng số cổ phần.</w:t>
            </w:r>
          </w:p>
        </w:tc>
      </w:tr>
      <w:tr w:rsidR="003171AF" w:rsidRPr="009948F3" w14:paraId="02801193" w14:textId="77777777" w:rsidTr="00EE693F">
        <w:trPr>
          <w:jc w:val="center"/>
        </w:trPr>
        <w:tc>
          <w:tcPr>
            <w:tcW w:w="978" w:type="dxa"/>
            <w:shd w:val="clear" w:color="auto" w:fill="auto"/>
            <w:vAlign w:val="center"/>
          </w:tcPr>
          <w:p w14:paraId="3F32039E"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(10)</w:t>
            </w:r>
          </w:p>
        </w:tc>
        <w:tc>
          <w:tcPr>
            <w:tcW w:w="5410" w:type="dxa"/>
            <w:shd w:val="clear" w:color="auto" w:fill="auto"/>
            <w:vAlign w:val="center"/>
          </w:tcPr>
          <w:p w14:paraId="7CC18DFA" w14:textId="26C770FF"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Chênh lệch tỷ giá hối đoái </w:t>
            </w:r>
          </w:p>
        </w:tc>
        <w:tc>
          <w:tcPr>
            <w:tcW w:w="7457" w:type="dxa"/>
          </w:tcPr>
          <w:p w14:paraId="287097E6" w14:textId="77777777" w:rsidR="003171AF" w:rsidRPr="00B63314" w:rsidRDefault="003171AF" w:rsidP="00CC7D8C">
            <w:pPr>
              <w:spacing w:before="120" w:after="120"/>
              <w:jc w:val="both"/>
              <w:rPr>
                <w:rFonts w:cs="Times New Roman"/>
                <w:sz w:val="24"/>
                <w:szCs w:val="24"/>
              </w:rPr>
            </w:pPr>
            <w:r w:rsidRPr="00B63314">
              <w:rPr>
                <w:rFonts w:cs="Times New Roman"/>
                <w:sz w:val="24"/>
                <w:szCs w:val="24"/>
                <w:lang w:val="vi-VN"/>
              </w:rPr>
              <w:t>Lấy số dư khoản </w:t>
            </w:r>
            <w:r w:rsidRPr="00B63314">
              <w:rPr>
                <w:rFonts w:cs="Times New Roman"/>
                <w:b/>
                <w:bCs/>
                <w:sz w:val="24"/>
                <w:szCs w:val="24"/>
                <w:lang w:val="vi-VN"/>
              </w:rPr>
              <w:t>Chênh lệch tỷ giá hối đoái</w:t>
            </w:r>
            <w:r w:rsidRPr="00B63314">
              <w:rPr>
                <w:rFonts w:cs="Times New Roman"/>
                <w:sz w:val="24"/>
                <w:szCs w:val="24"/>
                <w:lang w:val="vi-VN"/>
              </w:rPr>
              <w:t xml:space="preserve"> do đánh giá lại vốn chủ sở hữu có gốc ngoại tệ thuộc khoản mục Vốn Chủ sở hữu được ghi nhận trên </w:t>
            </w:r>
            <w:r w:rsidRPr="00B63314">
              <w:rPr>
                <w:rFonts w:cs="Times New Roman"/>
                <w:sz w:val="24"/>
                <w:szCs w:val="24"/>
              </w:rPr>
              <w:t xml:space="preserve">Báo cáo tình hình tài chính (được lập theo số liệu Bảng cân đối tài khoản kế toán) </w:t>
            </w:r>
            <w:r w:rsidRPr="00B63314">
              <w:rPr>
                <w:rFonts w:cs="Times New Roman"/>
                <w:sz w:val="24"/>
                <w:szCs w:val="24"/>
                <w:lang w:val="vi-VN"/>
              </w:rPr>
              <w:t>khi chuyển đổi Báo cáo tài chính được lập bằng ngoại tệ ra đồng Việt Nam.</w:t>
            </w:r>
          </w:p>
        </w:tc>
      </w:tr>
      <w:tr w:rsidR="003171AF" w:rsidRPr="009948F3" w14:paraId="18CFB5D8" w14:textId="77777777" w:rsidTr="00EE693F">
        <w:trPr>
          <w:jc w:val="center"/>
        </w:trPr>
        <w:tc>
          <w:tcPr>
            <w:tcW w:w="978" w:type="dxa"/>
            <w:shd w:val="clear" w:color="auto" w:fill="auto"/>
            <w:vAlign w:val="center"/>
          </w:tcPr>
          <w:p w14:paraId="062EDEAA" w14:textId="77777777" w:rsidR="003171AF" w:rsidRPr="00B63314" w:rsidRDefault="003171AF" w:rsidP="00CC7D8C">
            <w:pPr>
              <w:spacing w:before="120" w:after="120"/>
              <w:jc w:val="center"/>
              <w:rPr>
                <w:rFonts w:cs="Times New Roman"/>
                <w:sz w:val="24"/>
                <w:szCs w:val="24"/>
              </w:rPr>
            </w:pPr>
          </w:p>
        </w:tc>
        <w:tc>
          <w:tcPr>
            <w:tcW w:w="5410" w:type="dxa"/>
            <w:shd w:val="clear" w:color="auto" w:fill="auto"/>
            <w:vAlign w:val="center"/>
          </w:tcPr>
          <w:p w14:paraId="4F20E452" w14:textId="5F859417" w:rsidR="003171AF" w:rsidRPr="00B63314" w:rsidRDefault="003171AF" w:rsidP="00CC7D8C">
            <w:pPr>
              <w:spacing w:before="120" w:after="120"/>
              <w:jc w:val="both"/>
              <w:rPr>
                <w:rFonts w:cs="Times New Roman"/>
                <w:b/>
                <w:sz w:val="24"/>
                <w:szCs w:val="24"/>
              </w:rPr>
            </w:pPr>
            <w:r w:rsidRPr="00B63314">
              <w:rPr>
                <w:rFonts w:cs="Times New Roman"/>
                <w:b/>
                <w:sz w:val="24"/>
                <w:szCs w:val="24"/>
              </w:rPr>
              <w:t xml:space="preserve">Các khoản </w:t>
            </w:r>
            <w:r w:rsidR="00C32A2C">
              <w:rPr>
                <w:rFonts w:cs="Times New Roman"/>
                <w:b/>
                <w:sz w:val="24"/>
                <w:szCs w:val="24"/>
              </w:rPr>
              <w:t>giảm</w:t>
            </w:r>
            <w:r w:rsidR="00C32A2C" w:rsidRPr="00B63314">
              <w:rPr>
                <w:rFonts w:cs="Times New Roman"/>
                <w:b/>
                <w:sz w:val="24"/>
                <w:szCs w:val="24"/>
              </w:rPr>
              <w:t xml:space="preserve"> </w:t>
            </w:r>
            <w:r w:rsidRPr="00B63314">
              <w:rPr>
                <w:rFonts w:cs="Times New Roman"/>
                <w:b/>
                <w:sz w:val="24"/>
                <w:szCs w:val="24"/>
              </w:rPr>
              <w:t>trừ khỏi Vốn lõi cấp 1</w:t>
            </w:r>
          </w:p>
          <w:p w14:paraId="3BE3EFFB" w14:textId="0A281E46" w:rsidR="003171AF" w:rsidRPr="00B63314" w:rsidRDefault="003171AF" w:rsidP="00CC7D8C">
            <w:pPr>
              <w:spacing w:before="120" w:after="120"/>
              <w:jc w:val="both"/>
              <w:rPr>
                <w:rFonts w:cs="Times New Roman"/>
                <w:sz w:val="24"/>
                <w:szCs w:val="24"/>
              </w:rPr>
            </w:pPr>
            <w:r w:rsidRPr="00B63314">
              <w:rPr>
                <w:rFonts w:cs="Times New Roman"/>
                <w:b/>
                <w:sz w:val="24"/>
                <w:szCs w:val="24"/>
              </w:rPr>
              <w:t xml:space="preserve">(A12) = </w:t>
            </w:r>
            <w:r w:rsidRPr="00B63314">
              <w:rPr>
                <w:rFonts w:cs="Times New Roman"/>
                <w:b/>
                <w:bCs/>
                <w:sz w:val="24"/>
                <w:szCs w:val="24"/>
                <w:lang w:val="pt-BR"/>
              </w:rPr>
              <w:t>∑</w:t>
            </w:r>
            <w:r w:rsidR="00160DD8">
              <w:rPr>
                <w:rFonts w:cs="Times New Roman"/>
                <w:b/>
                <w:bCs/>
                <w:sz w:val="24"/>
                <w:szCs w:val="24"/>
                <w:lang w:val="pt-BR"/>
              </w:rPr>
              <w:t>(</w:t>
            </w:r>
            <w:r w:rsidRPr="00B63314">
              <w:rPr>
                <w:rFonts w:cs="Times New Roman"/>
                <w:b/>
                <w:bCs/>
                <w:sz w:val="24"/>
                <w:szCs w:val="24"/>
                <w:lang w:val="pt-BR"/>
              </w:rPr>
              <w:t>11</w:t>
            </w:r>
            <w:r w:rsidR="00160DD8">
              <w:rPr>
                <w:rFonts w:cs="Times New Roman"/>
                <w:b/>
                <w:bCs/>
                <w:sz w:val="24"/>
                <w:szCs w:val="24"/>
                <w:lang w:val="pt-BR"/>
              </w:rPr>
              <w:t xml:space="preserve">) </w:t>
            </w:r>
            <w:r w:rsidRPr="00B63314">
              <w:rPr>
                <w:rFonts w:cs="Times New Roman"/>
                <w:b/>
                <w:bCs/>
                <w:sz w:val="24"/>
                <w:szCs w:val="24"/>
                <w:lang w:val="pt-BR"/>
              </w:rPr>
              <w:t xml:space="preserve">÷ </w:t>
            </w:r>
            <w:r w:rsidR="00160DD8">
              <w:rPr>
                <w:rFonts w:cs="Times New Roman"/>
                <w:b/>
                <w:bCs/>
                <w:sz w:val="24"/>
                <w:szCs w:val="24"/>
                <w:lang w:val="pt-BR"/>
              </w:rPr>
              <w:t>(</w:t>
            </w:r>
            <w:r w:rsidRPr="00B63314">
              <w:rPr>
                <w:rFonts w:cs="Times New Roman"/>
                <w:b/>
                <w:bCs/>
                <w:sz w:val="24"/>
                <w:szCs w:val="24"/>
                <w:lang w:val="pt-BR"/>
              </w:rPr>
              <w:t>18</w:t>
            </w:r>
            <w:r w:rsidR="00160DD8">
              <w:rPr>
                <w:rFonts w:cs="Times New Roman"/>
                <w:b/>
                <w:bCs/>
                <w:sz w:val="24"/>
                <w:szCs w:val="24"/>
                <w:lang w:val="pt-BR"/>
              </w:rPr>
              <w:t>)</w:t>
            </w:r>
          </w:p>
        </w:tc>
        <w:tc>
          <w:tcPr>
            <w:tcW w:w="7457" w:type="dxa"/>
          </w:tcPr>
          <w:p w14:paraId="327A4C59" w14:textId="77777777" w:rsidR="003171AF" w:rsidRPr="00B63314" w:rsidRDefault="003171AF" w:rsidP="00CC7D8C">
            <w:pPr>
              <w:spacing w:before="120" w:after="120"/>
              <w:jc w:val="both"/>
              <w:rPr>
                <w:rFonts w:cs="Times New Roman"/>
                <w:sz w:val="24"/>
                <w:szCs w:val="24"/>
                <w:lang w:val="vi-VN"/>
              </w:rPr>
            </w:pPr>
          </w:p>
        </w:tc>
      </w:tr>
      <w:tr w:rsidR="003171AF" w:rsidRPr="009948F3" w14:paraId="0167DE89" w14:textId="77777777" w:rsidTr="00EE693F">
        <w:trPr>
          <w:jc w:val="center"/>
        </w:trPr>
        <w:tc>
          <w:tcPr>
            <w:tcW w:w="978" w:type="dxa"/>
            <w:shd w:val="clear" w:color="auto" w:fill="auto"/>
            <w:vAlign w:val="center"/>
          </w:tcPr>
          <w:p w14:paraId="737FEC31"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(11)</w:t>
            </w:r>
          </w:p>
        </w:tc>
        <w:tc>
          <w:tcPr>
            <w:tcW w:w="5410" w:type="dxa"/>
            <w:shd w:val="clear" w:color="auto" w:fill="auto"/>
            <w:vAlign w:val="center"/>
          </w:tcPr>
          <w:p w14:paraId="0D951402" w14:textId="77777777" w:rsidR="003171AF" w:rsidRPr="00B63314" w:rsidRDefault="003171AF" w:rsidP="00CC7D8C">
            <w:pPr>
              <w:spacing w:before="120" w:after="120"/>
              <w:jc w:val="both"/>
              <w:rPr>
                <w:rFonts w:cs="Times New Roman"/>
                <w:b/>
                <w:sz w:val="24"/>
                <w:szCs w:val="24"/>
              </w:rPr>
            </w:pPr>
            <w:r w:rsidRPr="00B63314">
              <w:rPr>
                <w:rFonts w:cs="Times New Roman"/>
                <w:sz w:val="24"/>
                <w:szCs w:val="24"/>
              </w:rPr>
              <w:t xml:space="preserve">Các tài sản cố định vô hình (không bao gồm quyền sử dụng đất) </w:t>
            </w:r>
          </w:p>
        </w:tc>
        <w:tc>
          <w:tcPr>
            <w:tcW w:w="7457" w:type="dxa"/>
          </w:tcPr>
          <w:p w14:paraId="2B2D3C1D"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giá trị còn lại của </w:t>
            </w:r>
            <w:r w:rsidRPr="00B63314">
              <w:rPr>
                <w:rFonts w:cs="Times New Roman"/>
                <w:b/>
                <w:bCs/>
                <w:sz w:val="24"/>
                <w:szCs w:val="24"/>
              </w:rPr>
              <w:t xml:space="preserve">Tài sản cố định vô hình </w:t>
            </w:r>
            <w:r w:rsidRPr="00B63314">
              <w:rPr>
                <w:rFonts w:cs="Times New Roman"/>
                <w:sz w:val="24"/>
                <w:szCs w:val="24"/>
              </w:rPr>
              <w:t>(không bao gồm quyền sử dụng đất) trên Thuyết minh báo cáo tài chính được lập theo số liệu Bảng cân đối tài khoản kế toán.</w:t>
            </w:r>
          </w:p>
        </w:tc>
      </w:tr>
      <w:tr w:rsidR="003171AF" w:rsidRPr="009948F3" w14:paraId="1A474B70" w14:textId="77777777" w:rsidTr="00EE693F">
        <w:trPr>
          <w:jc w:val="center"/>
        </w:trPr>
        <w:tc>
          <w:tcPr>
            <w:tcW w:w="978" w:type="dxa"/>
            <w:shd w:val="clear" w:color="auto" w:fill="auto"/>
            <w:vAlign w:val="center"/>
          </w:tcPr>
          <w:p w14:paraId="08D0D184"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(12)</w:t>
            </w:r>
          </w:p>
        </w:tc>
        <w:tc>
          <w:tcPr>
            <w:tcW w:w="5410" w:type="dxa"/>
            <w:shd w:val="clear" w:color="auto" w:fill="auto"/>
            <w:vAlign w:val="center"/>
          </w:tcPr>
          <w:p w14:paraId="4E025AB8" w14:textId="77777777" w:rsidR="003171AF" w:rsidRPr="00B63314" w:rsidRDefault="003171AF" w:rsidP="00CC7D8C">
            <w:pPr>
              <w:spacing w:before="120" w:after="120"/>
              <w:jc w:val="both"/>
              <w:rPr>
                <w:rFonts w:cs="Times New Roman"/>
                <w:b/>
                <w:sz w:val="24"/>
                <w:szCs w:val="24"/>
              </w:rPr>
            </w:pPr>
            <w:r w:rsidRPr="00B63314">
              <w:rPr>
                <w:rFonts w:cs="Times New Roman"/>
                <w:sz w:val="24"/>
                <w:szCs w:val="24"/>
              </w:rPr>
              <w:t xml:space="preserve">Tài sản thuế thu nhập hoãn lại </w:t>
            </w:r>
          </w:p>
        </w:tc>
        <w:tc>
          <w:tcPr>
            <w:tcW w:w="7457" w:type="dxa"/>
          </w:tcPr>
          <w:p w14:paraId="4B5F18CD" w14:textId="77777777" w:rsidR="003171AF" w:rsidRPr="00B63314" w:rsidRDefault="003171AF" w:rsidP="00CC7D8C">
            <w:pPr>
              <w:spacing w:before="120" w:after="120"/>
              <w:jc w:val="both"/>
              <w:rPr>
                <w:rFonts w:cs="Times New Roman"/>
                <w:sz w:val="24"/>
                <w:szCs w:val="24"/>
                <w:lang w:val="vi-VN"/>
              </w:rPr>
            </w:pPr>
            <w:r w:rsidRPr="00B63314">
              <w:rPr>
                <w:rFonts w:cs="Times New Roman"/>
                <w:sz w:val="24"/>
                <w:szCs w:val="24"/>
              </w:rPr>
              <w:t xml:space="preserve">Lấy số liệu từ </w:t>
            </w:r>
            <w:r w:rsidRPr="00B63314">
              <w:rPr>
                <w:rFonts w:cs="Times New Roman"/>
                <w:b/>
                <w:bCs/>
                <w:sz w:val="24"/>
                <w:szCs w:val="24"/>
              </w:rPr>
              <w:t>Tài sản thuế thu nhập hoãn lại phát sinh từ các khoản chênh lệch tạm thời phải chịu thuế</w:t>
            </w:r>
            <w:r w:rsidRPr="00B63314">
              <w:rPr>
                <w:rFonts w:cs="Times New Roman"/>
                <w:sz w:val="24"/>
                <w:szCs w:val="24"/>
              </w:rPr>
              <w:t xml:space="preserve"> tại Thuyết minh báo cáo tài chính được lập theo số liệu Bảng cân đối tài khoản kế toán.</w:t>
            </w:r>
          </w:p>
        </w:tc>
      </w:tr>
      <w:tr w:rsidR="003171AF" w:rsidRPr="009948F3" w14:paraId="18DAC88C" w14:textId="77777777" w:rsidTr="00EE693F">
        <w:trPr>
          <w:jc w:val="center"/>
        </w:trPr>
        <w:tc>
          <w:tcPr>
            <w:tcW w:w="978" w:type="dxa"/>
            <w:shd w:val="clear" w:color="auto" w:fill="auto"/>
            <w:vAlign w:val="center"/>
          </w:tcPr>
          <w:p w14:paraId="3C25CECC" w14:textId="77777777" w:rsidR="003171AF" w:rsidRPr="00B63314" w:rsidRDefault="003171AF" w:rsidP="00CC7D8C">
            <w:pPr>
              <w:spacing w:before="120" w:after="120"/>
              <w:jc w:val="center"/>
              <w:rPr>
                <w:rFonts w:cs="Times New Roman"/>
                <w:sz w:val="24"/>
                <w:szCs w:val="24"/>
              </w:rPr>
            </w:pPr>
            <w:r w:rsidRPr="00B63314">
              <w:rPr>
                <w:rFonts w:cs="Times New Roman"/>
                <w:color w:val="000000"/>
                <w:sz w:val="24"/>
                <w:szCs w:val="24"/>
              </w:rPr>
              <w:t>(13)</w:t>
            </w:r>
          </w:p>
        </w:tc>
        <w:tc>
          <w:tcPr>
            <w:tcW w:w="5410" w:type="dxa"/>
            <w:shd w:val="clear" w:color="auto" w:fill="auto"/>
            <w:vAlign w:val="center"/>
          </w:tcPr>
          <w:p w14:paraId="117B2A0D" w14:textId="77777777" w:rsidR="003171AF" w:rsidRPr="00B63314" w:rsidRDefault="003171AF" w:rsidP="00CC7D8C">
            <w:pPr>
              <w:spacing w:before="120" w:after="120"/>
              <w:jc w:val="both"/>
              <w:rPr>
                <w:rFonts w:cs="Times New Roman"/>
                <w:i/>
                <w:iCs/>
                <w:sz w:val="24"/>
                <w:szCs w:val="24"/>
              </w:rPr>
            </w:pPr>
            <w:r w:rsidRPr="00B63314">
              <w:rPr>
                <w:rFonts w:cs="Times New Roman"/>
                <w:color w:val="000000"/>
                <w:sz w:val="24"/>
                <w:szCs w:val="24"/>
              </w:rPr>
              <w:t>Lỗ lũy kế</w:t>
            </w:r>
          </w:p>
        </w:tc>
        <w:tc>
          <w:tcPr>
            <w:tcW w:w="7457" w:type="dxa"/>
            <w:vAlign w:val="center"/>
          </w:tcPr>
          <w:p w14:paraId="3D08E234" w14:textId="77777777" w:rsidR="003171AF" w:rsidRPr="00B63314" w:rsidRDefault="003171AF" w:rsidP="00CC7D8C">
            <w:pPr>
              <w:spacing w:before="120" w:after="120"/>
              <w:jc w:val="both"/>
              <w:rPr>
                <w:rFonts w:cs="Times New Roman"/>
                <w:sz w:val="24"/>
                <w:szCs w:val="24"/>
              </w:rPr>
            </w:pPr>
            <w:r w:rsidRPr="00B63314">
              <w:rPr>
                <w:rFonts w:cs="Times New Roman"/>
                <w:color w:val="000000"/>
                <w:sz w:val="24"/>
                <w:szCs w:val="24"/>
              </w:rPr>
              <w:t>Lấy số liệu </w:t>
            </w:r>
            <w:r w:rsidRPr="00B63314">
              <w:rPr>
                <w:rFonts w:cs="Times New Roman"/>
                <w:b/>
                <w:bCs/>
                <w:color w:val="000000"/>
                <w:sz w:val="24"/>
                <w:szCs w:val="24"/>
              </w:rPr>
              <w:t>Lỗ lũy kế </w:t>
            </w:r>
            <w:r w:rsidRPr="00B63314">
              <w:rPr>
                <w:rFonts w:cs="Times New Roman"/>
                <w:color w:val="000000"/>
                <w:sz w:val="24"/>
                <w:szCs w:val="24"/>
              </w:rPr>
              <w:t xml:space="preserve">tại thời điểm tính tỷ lệ </w:t>
            </w:r>
            <w:proofErr w:type="gramStart"/>
            <w:r w:rsidRPr="00B63314">
              <w:rPr>
                <w:rFonts w:cs="Times New Roman"/>
                <w:color w:val="000000"/>
                <w:sz w:val="24"/>
                <w:szCs w:val="24"/>
              </w:rPr>
              <w:t>an</w:t>
            </w:r>
            <w:proofErr w:type="gramEnd"/>
            <w:r w:rsidRPr="00B63314">
              <w:rPr>
                <w:rFonts w:cs="Times New Roman"/>
                <w:color w:val="000000"/>
                <w:sz w:val="24"/>
                <w:szCs w:val="24"/>
              </w:rPr>
              <w:t xml:space="preserve"> toàn vốn.</w:t>
            </w:r>
          </w:p>
        </w:tc>
      </w:tr>
      <w:tr w:rsidR="003171AF" w:rsidRPr="009948F3" w14:paraId="0ED577B5" w14:textId="77777777" w:rsidTr="00EE693F">
        <w:trPr>
          <w:jc w:val="center"/>
        </w:trPr>
        <w:tc>
          <w:tcPr>
            <w:tcW w:w="978" w:type="dxa"/>
            <w:shd w:val="clear" w:color="auto" w:fill="auto"/>
            <w:vAlign w:val="center"/>
          </w:tcPr>
          <w:p w14:paraId="1C4C6CAB"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(14)</w:t>
            </w:r>
          </w:p>
        </w:tc>
        <w:tc>
          <w:tcPr>
            <w:tcW w:w="5410" w:type="dxa"/>
            <w:shd w:val="clear" w:color="auto" w:fill="auto"/>
            <w:vAlign w:val="center"/>
          </w:tcPr>
          <w:p w14:paraId="3AF18C60" w14:textId="77777777" w:rsidR="003171AF" w:rsidRPr="00B63314" w:rsidRDefault="003171AF" w:rsidP="00CC7D8C">
            <w:pPr>
              <w:spacing w:before="120" w:after="120"/>
              <w:jc w:val="both"/>
              <w:rPr>
                <w:rFonts w:cs="Times New Roman"/>
                <w:i/>
                <w:iCs/>
                <w:sz w:val="24"/>
                <w:szCs w:val="24"/>
              </w:rPr>
            </w:pPr>
            <w:r w:rsidRPr="00B63314">
              <w:rPr>
                <w:rFonts w:cs="Times New Roman"/>
                <w:sz w:val="24"/>
                <w:szCs w:val="24"/>
              </w:rPr>
              <w:t>Cổ phiếu quỹ ứng với cổ phần phổ thông</w:t>
            </w:r>
          </w:p>
        </w:tc>
        <w:tc>
          <w:tcPr>
            <w:tcW w:w="7457" w:type="dxa"/>
          </w:tcPr>
          <w:p w14:paraId="5FA317D0"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Cổ phiếu quỹ</w:t>
            </w:r>
            <w:r w:rsidRPr="00B63314">
              <w:rPr>
                <w:rFonts w:cs="Times New Roman"/>
                <w:sz w:val="24"/>
                <w:szCs w:val="24"/>
              </w:rPr>
              <w:t xml:space="preserve"> trên Báo cáo tình hình tài chính (được lập theo số liệu Bảng cân đối tài khoản kế toán) nhân với tỷ trọng của cổ phần phổ thông trên tổng số cổ phần.</w:t>
            </w:r>
          </w:p>
        </w:tc>
      </w:tr>
      <w:tr w:rsidR="003171AF" w:rsidRPr="009948F3" w14:paraId="6CF20022" w14:textId="77777777" w:rsidTr="00EE693F">
        <w:trPr>
          <w:jc w:val="center"/>
        </w:trPr>
        <w:tc>
          <w:tcPr>
            <w:tcW w:w="978" w:type="dxa"/>
            <w:shd w:val="clear" w:color="auto" w:fill="auto"/>
            <w:vAlign w:val="center"/>
          </w:tcPr>
          <w:p w14:paraId="2E5E18DF"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lastRenderedPageBreak/>
              <w:t>(15)</w:t>
            </w:r>
          </w:p>
        </w:tc>
        <w:tc>
          <w:tcPr>
            <w:tcW w:w="5410" w:type="dxa"/>
            <w:shd w:val="clear" w:color="auto" w:fill="auto"/>
            <w:vAlign w:val="center"/>
          </w:tcPr>
          <w:p w14:paraId="6AECECBD" w14:textId="72B4383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Phần chênh lệch dương của tổng mức tổn thất dự kiến so với dự phòng </w:t>
            </w:r>
            <w:r w:rsidR="00160DD8">
              <w:rPr>
                <w:rFonts w:cs="Times New Roman"/>
                <w:sz w:val="24"/>
                <w:szCs w:val="24"/>
              </w:rPr>
              <w:t xml:space="preserve">rủi ro </w:t>
            </w:r>
            <w:r w:rsidRPr="00B63314">
              <w:rPr>
                <w:rFonts w:cs="Times New Roman"/>
                <w:sz w:val="24"/>
                <w:szCs w:val="24"/>
              </w:rPr>
              <w:t xml:space="preserve">của danh mục tài sản </w:t>
            </w:r>
            <w:r w:rsidR="00B84F92">
              <w:rPr>
                <w:rFonts w:cs="Times New Roman"/>
                <w:sz w:val="24"/>
                <w:szCs w:val="24"/>
              </w:rPr>
              <w:t xml:space="preserve">được </w:t>
            </w:r>
            <w:r w:rsidR="00E72FA9">
              <w:rPr>
                <w:rFonts w:cs="Times New Roman"/>
                <w:sz w:val="24"/>
                <w:szCs w:val="24"/>
              </w:rPr>
              <w:t>áp dụng</w:t>
            </w:r>
            <w:r w:rsidRPr="00B63314">
              <w:rPr>
                <w:rFonts w:cs="Times New Roman"/>
                <w:sz w:val="24"/>
                <w:szCs w:val="24"/>
              </w:rPr>
              <w:t xml:space="preserve"> </w:t>
            </w:r>
            <w:r w:rsidR="00904DDB" w:rsidRPr="00904DDB">
              <w:rPr>
                <w:rFonts w:cs="Times New Roman"/>
                <w:sz w:val="24"/>
                <w:szCs w:val="24"/>
              </w:rPr>
              <w:t>phương pháp xếp hạng nội bộ</w:t>
            </w:r>
          </w:p>
        </w:tc>
        <w:tc>
          <w:tcPr>
            <w:tcW w:w="7457" w:type="dxa"/>
          </w:tcPr>
          <w:p w14:paraId="1E4304AD" w14:textId="51D44B16"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Chỉ tính chênh lệch cho danh mục tài sản </w:t>
            </w:r>
            <w:r w:rsidR="00E72FA9" w:rsidRPr="00E72FA9">
              <w:rPr>
                <w:rFonts w:cs="Times New Roman"/>
                <w:sz w:val="24"/>
                <w:szCs w:val="24"/>
              </w:rPr>
              <w:t xml:space="preserve">áp dụng </w:t>
            </w:r>
            <w:r w:rsidR="00904DDB" w:rsidRPr="00904DDB">
              <w:rPr>
                <w:rFonts w:cs="Times New Roman"/>
                <w:sz w:val="24"/>
                <w:szCs w:val="24"/>
              </w:rPr>
              <w:t xml:space="preserve">phương pháp xếp hạng nội bộ </w:t>
            </w:r>
            <w:r w:rsidR="007F7D07">
              <w:rPr>
                <w:rFonts w:cs="Times New Roman"/>
                <w:sz w:val="24"/>
                <w:szCs w:val="24"/>
              </w:rPr>
              <w:t xml:space="preserve">theo quy định tại khoản 1 Điều </w:t>
            </w:r>
            <w:r w:rsidR="005D174C">
              <w:rPr>
                <w:rFonts w:cs="Times New Roman"/>
                <w:sz w:val="24"/>
                <w:szCs w:val="24"/>
              </w:rPr>
              <w:t>62</w:t>
            </w:r>
            <w:r w:rsidR="007F7D07">
              <w:rPr>
                <w:rFonts w:cs="Times New Roman"/>
                <w:sz w:val="24"/>
                <w:szCs w:val="24"/>
              </w:rPr>
              <w:t xml:space="preserve"> Thông tư này</w:t>
            </w:r>
            <w:r w:rsidRPr="00B63314">
              <w:rPr>
                <w:rFonts w:cs="Times New Roman"/>
                <w:sz w:val="24"/>
                <w:szCs w:val="24"/>
              </w:rPr>
              <w:t>;</w:t>
            </w:r>
          </w:p>
          <w:p w14:paraId="0C1717A0" w14:textId="10EA81F1"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Ngân hàng thương mại trừ 50% phần chênh lệch vào vốn lõi cấp 1 và 50% phần chênh lệch còn lại vào vốn cấp 2 trong 02 năm kể từ ngày được Ngân hàng Nhà nước chấp thuận áp dụng </w:t>
            </w:r>
            <w:r w:rsidR="00904DDB">
              <w:rPr>
                <w:rFonts w:cs="Times New Roman"/>
                <w:sz w:val="24"/>
                <w:szCs w:val="24"/>
              </w:rPr>
              <w:t>phương pháp xếp hạng nội bộ</w:t>
            </w:r>
            <w:r w:rsidRPr="00B63314">
              <w:rPr>
                <w:rFonts w:cs="Times New Roman"/>
                <w:sz w:val="24"/>
                <w:szCs w:val="24"/>
              </w:rPr>
              <w:t xml:space="preserve">. Kể từ năm thứ </w:t>
            </w:r>
            <w:r w:rsidR="00A23B06">
              <w:rPr>
                <w:rFonts w:cs="Times New Roman"/>
                <w:sz w:val="24"/>
                <w:szCs w:val="24"/>
              </w:rPr>
              <w:t>ba</w:t>
            </w:r>
            <w:r w:rsidRPr="00B63314">
              <w:rPr>
                <w:rFonts w:cs="Times New Roman"/>
                <w:sz w:val="24"/>
                <w:szCs w:val="24"/>
              </w:rPr>
              <w:t xml:space="preserve"> trở đi, ngân hàng thương mại trừ toàn bộ phần chênh lệch vào vốn lõi cấp 1.</w:t>
            </w:r>
          </w:p>
        </w:tc>
      </w:tr>
      <w:tr w:rsidR="003171AF" w:rsidRPr="009948F3" w14:paraId="44EAA39E" w14:textId="77777777" w:rsidTr="00EE693F">
        <w:trPr>
          <w:jc w:val="center"/>
        </w:trPr>
        <w:tc>
          <w:tcPr>
            <w:tcW w:w="978" w:type="dxa"/>
            <w:shd w:val="clear" w:color="auto" w:fill="auto"/>
            <w:vAlign w:val="center"/>
          </w:tcPr>
          <w:p w14:paraId="1AFBFC3C"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(16)</w:t>
            </w:r>
          </w:p>
        </w:tc>
        <w:tc>
          <w:tcPr>
            <w:tcW w:w="5410" w:type="dxa"/>
            <w:shd w:val="clear" w:color="auto" w:fill="auto"/>
            <w:vAlign w:val="center"/>
          </w:tcPr>
          <w:p w14:paraId="50084238"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Các khoản góp vốn, mua cổ phần tại </w:t>
            </w:r>
            <w:r w:rsidRPr="00B63314">
              <w:rPr>
                <w:rFonts w:cs="Times New Roman"/>
                <w:sz w:val="24"/>
                <w:szCs w:val="24"/>
                <w:lang w:val="vi-VN"/>
              </w:rPr>
              <w:t>tổ chức tín dụng khác, công ty con của tổ chức tín dụng</w:t>
            </w:r>
            <w:r w:rsidRPr="00B63314">
              <w:rPr>
                <w:rFonts w:cs="Times New Roman"/>
                <w:sz w:val="24"/>
                <w:szCs w:val="24"/>
              </w:rPr>
              <w:t xml:space="preserve"> và </w:t>
            </w:r>
            <w:r w:rsidRPr="00B63314">
              <w:rPr>
                <w:rFonts w:cs="Times New Roman"/>
                <w:sz w:val="24"/>
                <w:szCs w:val="24"/>
                <w:lang w:val="vi-VN"/>
              </w:rPr>
              <w:t>doanh nghiệp hoạt động trong lĩnh vực ngân hàng, bảo hiểm, chứng khoán</w:t>
            </w:r>
          </w:p>
        </w:tc>
        <w:tc>
          <w:tcPr>
            <w:tcW w:w="7457" w:type="dxa"/>
          </w:tcPr>
          <w:p w14:paraId="67E12F90" w14:textId="09D380A8" w:rsidR="003171AF" w:rsidRPr="00B63314" w:rsidRDefault="003171AF" w:rsidP="00CC7D8C">
            <w:pPr>
              <w:spacing w:before="120" w:after="120"/>
              <w:jc w:val="both"/>
              <w:rPr>
                <w:rFonts w:cs="Times New Roman"/>
                <w:sz w:val="24"/>
                <w:szCs w:val="24"/>
              </w:rPr>
            </w:pPr>
            <w:r w:rsidRPr="00541424">
              <w:rPr>
                <w:rFonts w:cs="Times New Roman"/>
                <w:sz w:val="24"/>
                <w:szCs w:val="24"/>
              </w:rPr>
              <w:t xml:space="preserve">Lấy số liệu các khoản </w:t>
            </w:r>
            <w:r w:rsidRPr="00541424">
              <w:rPr>
                <w:rFonts w:cs="Times New Roman"/>
                <w:b/>
                <w:bCs/>
                <w:sz w:val="24"/>
                <w:szCs w:val="24"/>
              </w:rPr>
              <w:t xml:space="preserve">Góp vốn, đầu tư dài hạn </w:t>
            </w:r>
            <w:r w:rsidRPr="00541424">
              <w:rPr>
                <w:rFonts w:cs="Times New Roman"/>
                <w:sz w:val="24"/>
                <w:szCs w:val="24"/>
              </w:rPr>
              <w:t xml:space="preserve">và </w:t>
            </w:r>
            <w:r w:rsidRPr="00541424">
              <w:rPr>
                <w:rFonts w:cs="Times New Roman"/>
                <w:b/>
                <w:bCs/>
                <w:sz w:val="24"/>
                <w:szCs w:val="24"/>
              </w:rPr>
              <w:t>Chứng khoán sẵn sàng để bán</w:t>
            </w:r>
            <w:r w:rsidRPr="00541424">
              <w:rPr>
                <w:rFonts w:cs="Times New Roman"/>
                <w:sz w:val="24"/>
                <w:szCs w:val="24"/>
              </w:rPr>
              <w:t xml:space="preserve"> </w:t>
            </w:r>
            <w:r w:rsidR="005260E9" w:rsidRPr="00F878FC">
              <w:rPr>
                <w:rFonts w:cs="Times New Roman"/>
                <w:sz w:val="24"/>
                <w:szCs w:val="24"/>
              </w:rPr>
              <w:t>phần</w:t>
            </w:r>
            <w:r w:rsidRPr="00F878FC">
              <w:rPr>
                <w:rFonts w:cs="Times New Roman"/>
                <w:sz w:val="24"/>
                <w:szCs w:val="24"/>
              </w:rPr>
              <w:t xml:space="preserve"> </w:t>
            </w:r>
            <w:r w:rsidR="005260E9" w:rsidRPr="00F878FC">
              <w:rPr>
                <w:rFonts w:cs="Times New Roman"/>
                <w:sz w:val="24"/>
                <w:szCs w:val="24"/>
              </w:rPr>
              <w:t>chứng khoán vốn</w:t>
            </w:r>
            <w:r w:rsidR="005260E9">
              <w:rPr>
                <w:rFonts w:cs="Times New Roman"/>
                <w:sz w:val="24"/>
                <w:szCs w:val="24"/>
              </w:rPr>
              <w:t xml:space="preserve"> của </w:t>
            </w:r>
            <w:r w:rsidRPr="00541424">
              <w:rPr>
                <w:rFonts w:cs="Times New Roman"/>
                <w:sz w:val="24"/>
                <w:szCs w:val="24"/>
              </w:rPr>
              <w:t>các đối tượng là các tổ chức tín dụng khác, công ty con của tổ chức tín dụng khác, doanh nghiệp hoạt động trong lĩnh vực ngân hàng, bảo hiểm, chứng khoán trên Báo cáo tình hình tài chính hợp nhất</w:t>
            </w:r>
            <w:r w:rsidRPr="00B63314">
              <w:rPr>
                <w:rFonts w:cs="Times New Roman"/>
                <w:sz w:val="24"/>
                <w:szCs w:val="24"/>
              </w:rPr>
              <w:t xml:space="preserve"> được lập theo số liệu Bảng cân đối tài khoản kế toán.</w:t>
            </w:r>
          </w:p>
        </w:tc>
      </w:tr>
      <w:tr w:rsidR="003171AF" w:rsidRPr="009948F3" w14:paraId="4981EC4F" w14:textId="77777777" w:rsidTr="00EE693F">
        <w:trPr>
          <w:jc w:val="center"/>
        </w:trPr>
        <w:tc>
          <w:tcPr>
            <w:tcW w:w="978" w:type="dxa"/>
            <w:shd w:val="clear" w:color="auto" w:fill="auto"/>
            <w:vAlign w:val="center"/>
          </w:tcPr>
          <w:p w14:paraId="7893CB59"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(17)</w:t>
            </w:r>
          </w:p>
        </w:tc>
        <w:tc>
          <w:tcPr>
            <w:tcW w:w="5410" w:type="dxa"/>
            <w:shd w:val="clear" w:color="auto" w:fill="auto"/>
            <w:vAlign w:val="center"/>
          </w:tcPr>
          <w:p w14:paraId="58ED0533" w14:textId="399A5F03" w:rsidR="003171AF" w:rsidRPr="00B63314" w:rsidRDefault="003171AF" w:rsidP="00CC7D8C">
            <w:pPr>
              <w:spacing w:before="120" w:after="120"/>
              <w:jc w:val="both"/>
              <w:rPr>
                <w:rFonts w:cs="Times New Roman"/>
                <w:sz w:val="24"/>
                <w:szCs w:val="24"/>
              </w:rPr>
            </w:pPr>
            <w:r w:rsidRPr="00B63314">
              <w:rPr>
                <w:rFonts w:cs="Times New Roman"/>
                <w:sz w:val="24"/>
                <w:szCs w:val="24"/>
              </w:rPr>
              <w:t>Phần chênh lệch dương giữa Tài sản</w:t>
            </w:r>
            <w:r w:rsidR="00D538D0">
              <w:rPr>
                <w:rFonts w:cs="Times New Roman"/>
                <w:sz w:val="24"/>
                <w:szCs w:val="24"/>
              </w:rPr>
              <w:t xml:space="preserve"> cố định</w:t>
            </w:r>
            <w:r w:rsidRPr="00B63314">
              <w:rPr>
                <w:rFonts w:cs="Times New Roman"/>
                <w:sz w:val="24"/>
                <w:szCs w:val="24"/>
              </w:rPr>
              <w:t xml:space="preserve"> vô hình là quyền sử dụng đất và 15% của A11 sau khi trừ đi các khoản phải trừ từ (11) đến (16)</w:t>
            </w:r>
          </w:p>
        </w:tc>
        <w:tc>
          <w:tcPr>
            <w:tcW w:w="7457" w:type="dxa"/>
          </w:tcPr>
          <w:p w14:paraId="17ED56B6" w14:textId="7D834C06" w:rsidR="003171AF" w:rsidRPr="00B63314" w:rsidRDefault="003171AF" w:rsidP="00CC7D8C">
            <w:pPr>
              <w:tabs>
                <w:tab w:val="left" w:pos="276"/>
              </w:tabs>
              <w:spacing w:before="120" w:after="120"/>
              <w:jc w:val="both"/>
              <w:rPr>
                <w:rFonts w:cs="Times New Roman"/>
                <w:sz w:val="24"/>
                <w:szCs w:val="24"/>
              </w:rPr>
            </w:pPr>
            <w:r w:rsidRPr="00B63314">
              <w:rPr>
                <w:rFonts w:cs="Times New Roman"/>
                <w:sz w:val="24"/>
                <w:szCs w:val="24"/>
              </w:rPr>
              <w:t>-</w:t>
            </w:r>
            <w:r w:rsidRPr="00B63314">
              <w:rPr>
                <w:rFonts w:cs="Times New Roman"/>
                <w:sz w:val="24"/>
                <w:szCs w:val="24"/>
              </w:rPr>
              <w:tab/>
              <w:t xml:space="preserve">N1 =  Tài sản </w:t>
            </w:r>
            <w:r w:rsidR="00D538D0">
              <w:rPr>
                <w:rFonts w:cs="Times New Roman"/>
                <w:sz w:val="24"/>
                <w:szCs w:val="24"/>
              </w:rPr>
              <w:t xml:space="preserve">cố định </w:t>
            </w:r>
            <w:r w:rsidRPr="00B63314">
              <w:rPr>
                <w:rFonts w:cs="Times New Roman"/>
                <w:sz w:val="24"/>
                <w:szCs w:val="24"/>
              </w:rPr>
              <w:t xml:space="preserve">vô hình là Quyền sử dụng </w:t>
            </w:r>
            <w:r w:rsidR="00CC7D8C">
              <w:rPr>
                <w:rFonts w:cs="Times New Roman"/>
                <w:sz w:val="24"/>
                <w:szCs w:val="24"/>
              </w:rPr>
              <w:t>đất</w:t>
            </w:r>
          </w:p>
          <w:p w14:paraId="07244E26" w14:textId="76C9BC30" w:rsidR="003171AF" w:rsidRPr="00B63314" w:rsidRDefault="003171AF" w:rsidP="00CC7D8C">
            <w:pPr>
              <w:tabs>
                <w:tab w:val="left" w:pos="276"/>
              </w:tabs>
              <w:spacing w:before="120" w:after="120"/>
              <w:jc w:val="both"/>
              <w:rPr>
                <w:rFonts w:cs="Times New Roman"/>
                <w:sz w:val="24"/>
                <w:szCs w:val="24"/>
              </w:rPr>
            </w:pPr>
            <w:r w:rsidRPr="00B63314">
              <w:rPr>
                <w:rFonts w:cs="Times New Roman"/>
                <w:sz w:val="24"/>
                <w:szCs w:val="24"/>
              </w:rPr>
              <w:t>-</w:t>
            </w:r>
            <w:r w:rsidRPr="00B63314">
              <w:rPr>
                <w:rFonts w:cs="Times New Roman"/>
                <w:sz w:val="24"/>
                <w:szCs w:val="24"/>
              </w:rPr>
              <w:tab/>
              <w:t xml:space="preserve">N2 = 15% * </w:t>
            </w:r>
            <w:r w:rsidR="007F7D07">
              <w:rPr>
                <w:rFonts w:cs="Times New Roman"/>
                <w:sz w:val="24"/>
                <w:szCs w:val="24"/>
              </w:rPr>
              <w:t>[</w:t>
            </w:r>
            <w:r w:rsidRPr="00B63314">
              <w:rPr>
                <w:rFonts w:cs="Times New Roman"/>
                <w:sz w:val="24"/>
                <w:szCs w:val="24"/>
              </w:rPr>
              <w:t>(A11</w:t>
            </w:r>
            <w:r w:rsidR="007F7D07">
              <w:rPr>
                <w:rFonts w:cs="Times New Roman"/>
                <w:sz w:val="24"/>
                <w:szCs w:val="24"/>
              </w:rPr>
              <w:t>)</w:t>
            </w:r>
            <w:r w:rsidRPr="00B63314">
              <w:rPr>
                <w:rFonts w:cs="Times New Roman"/>
                <w:sz w:val="24"/>
                <w:szCs w:val="24"/>
              </w:rPr>
              <w:t xml:space="preserve"> – ∑</w:t>
            </w:r>
            <w:r w:rsidR="007F7D07">
              <w:rPr>
                <w:rFonts w:cs="Times New Roman"/>
                <w:sz w:val="24"/>
                <w:szCs w:val="24"/>
              </w:rPr>
              <w:t>(</w:t>
            </w:r>
            <w:r w:rsidRPr="00B63314">
              <w:rPr>
                <w:rFonts w:cs="Times New Roman"/>
                <w:sz w:val="24"/>
                <w:szCs w:val="24"/>
              </w:rPr>
              <w:t>11</w:t>
            </w:r>
            <w:r w:rsidR="007F7D07">
              <w:rPr>
                <w:rFonts w:cs="Times New Roman"/>
                <w:sz w:val="24"/>
                <w:szCs w:val="24"/>
              </w:rPr>
              <w:t>)÷(</w:t>
            </w:r>
            <w:r w:rsidRPr="00B63314">
              <w:rPr>
                <w:rFonts w:cs="Times New Roman"/>
                <w:sz w:val="24"/>
                <w:szCs w:val="24"/>
              </w:rPr>
              <w:t>16)</w:t>
            </w:r>
            <w:r w:rsidR="007F7D07">
              <w:rPr>
                <w:rFonts w:cs="Times New Roman"/>
                <w:sz w:val="24"/>
                <w:szCs w:val="24"/>
              </w:rPr>
              <w:t>]</w:t>
            </w:r>
            <w:r w:rsidRPr="00B63314">
              <w:rPr>
                <w:rFonts w:cs="Times New Roman"/>
                <w:sz w:val="24"/>
                <w:szCs w:val="24"/>
              </w:rPr>
              <w:t>;</w:t>
            </w:r>
          </w:p>
          <w:p w14:paraId="16D6CCF7" w14:textId="77777777" w:rsidR="003171AF" w:rsidRPr="00B63314" w:rsidRDefault="003171AF" w:rsidP="00CC7D8C">
            <w:pPr>
              <w:tabs>
                <w:tab w:val="left" w:pos="276"/>
              </w:tabs>
              <w:spacing w:before="120" w:after="120"/>
              <w:jc w:val="both"/>
              <w:rPr>
                <w:rFonts w:cs="Times New Roman"/>
                <w:sz w:val="24"/>
                <w:szCs w:val="24"/>
              </w:rPr>
            </w:pPr>
            <w:r w:rsidRPr="00B63314">
              <w:rPr>
                <w:rFonts w:cs="Times New Roman"/>
                <w:sz w:val="24"/>
                <w:szCs w:val="24"/>
              </w:rPr>
              <w:t>-</w:t>
            </w:r>
            <w:r w:rsidRPr="00B63314">
              <w:rPr>
                <w:rFonts w:cs="Times New Roman"/>
                <w:sz w:val="24"/>
                <w:szCs w:val="24"/>
              </w:rPr>
              <w:tab/>
              <w:t>Lấy giá trị N1 – N2 &gt; 0</w:t>
            </w:r>
          </w:p>
        </w:tc>
      </w:tr>
      <w:tr w:rsidR="003171AF" w:rsidRPr="009948F3" w14:paraId="04E5E496" w14:textId="77777777" w:rsidTr="00EE693F">
        <w:trPr>
          <w:jc w:val="center"/>
        </w:trPr>
        <w:tc>
          <w:tcPr>
            <w:tcW w:w="978" w:type="dxa"/>
            <w:shd w:val="clear" w:color="auto" w:fill="auto"/>
            <w:vAlign w:val="center"/>
          </w:tcPr>
          <w:p w14:paraId="18535E9B"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(18)</w:t>
            </w:r>
          </w:p>
        </w:tc>
        <w:tc>
          <w:tcPr>
            <w:tcW w:w="5410" w:type="dxa"/>
            <w:shd w:val="clear" w:color="auto" w:fill="auto"/>
            <w:vAlign w:val="center"/>
          </w:tcPr>
          <w:p w14:paraId="516113DC" w14:textId="102C0906"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Phần bù cho giá trị âm của </w:t>
            </w:r>
            <w:r w:rsidR="007E55AB">
              <w:rPr>
                <w:rFonts w:cs="Times New Roman"/>
                <w:sz w:val="24"/>
                <w:szCs w:val="24"/>
              </w:rPr>
              <w:t>Vốn b</w:t>
            </w:r>
            <w:r w:rsidR="007E55AB" w:rsidRPr="00B63314">
              <w:rPr>
                <w:rFonts w:cs="Times New Roman"/>
                <w:sz w:val="24"/>
                <w:szCs w:val="24"/>
              </w:rPr>
              <w:t xml:space="preserve">ổ </w:t>
            </w:r>
            <w:r w:rsidRPr="00B63314">
              <w:rPr>
                <w:rFonts w:cs="Times New Roman"/>
                <w:sz w:val="24"/>
                <w:szCs w:val="24"/>
              </w:rPr>
              <w:t>sung vốn cấp 1</w:t>
            </w:r>
          </w:p>
        </w:tc>
        <w:tc>
          <w:tcPr>
            <w:tcW w:w="7457" w:type="dxa"/>
          </w:tcPr>
          <w:p w14:paraId="1443B791" w14:textId="77777777" w:rsidR="003171AF" w:rsidRPr="00B63314" w:rsidRDefault="003171AF" w:rsidP="00CC7D8C">
            <w:pPr>
              <w:spacing w:before="120" w:after="120"/>
              <w:jc w:val="both"/>
              <w:rPr>
                <w:rFonts w:cs="Times New Roman"/>
                <w:sz w:val="24"/>
                <w:szCs w:val="24"/>
              </w:rPr>
            </w:pPr>
            <w:r>
              <w:rPr>
                <w:rFonts w:cs="Times New Roman"/>
                <w:sz w:val="24"/>
                <w:szCs w:val="24"/>
              </w:rPr>
              <w:t xml:space="preserve">Trường hợp A2&lt;0, lấy giá trị giảm trừ là </w:t>
            </w:r>
            <m:oMath>
              <m:d>
                <m:dPr>
                  <m:begChr m:val="|"/>
                  <m:endChr m:val="|"/>
                  <m:ctrlPr>
                    <w:rPr>
                      <w:rFonts w:ascii="Cambria Math" w:hAnsi="Cambria Math" w:cs="Times New Roman"/>
                      <w:i/>
                      <w:sz w:val="24"/>
                      <w:szCs w:val="24"/>
                    </w:rPr>
                  </m:ctrlPr>
                </m:dPr>
                <m:e>
                  <m:r>
                    <w:rPr>
                      <w:rFonts w:ascii="Cambria Math" w:hAnsi="Cambria Math" w:cs="Times New Roman"/>
                      <w:sz w:val="24"/>
                      <w:szCs w:val="24"/>
                    </w:rPr>
                    <m:t>A2</m:t>
                  </m:r>
                </m:e>
              </m:d>
            </m:oMath>
          </w:p>
        </w:tc>
      </w:tr>
      <w:tr w:rsidR="003171AF" w:rsidRPr="009948F3" w14:paraId="6CE31E08" w14:textId="77777777" w:rsidTr="00EE693F">
        <w:trPr>
          <w:jc w:val="center"/>
        </w:trPr>
        <w:tc>
          <w:tcPr>
            <w:tcW w:w="978" w:type="dxa"/>
            <w:shd w:val="clear" w:color="auto" w:fill="auto"/>
            <w:vAlign w:val="center"/>
          </w:tcPr>
          <w:p w14:paraId="027EF6BC" w14:textId="77777777" w:rsidR="003171AF" w:rsidRPr="00B63314" w:rsidRDefault="003171AF" w:rsidP="00CC7D8C">
            <w:pPr>
              <w:spacing w:before="120" w:after="120"/>
              <w:jc w:val="center"/>
              <w:rPr>
                <w:rFonts w:cs="Times New Roman"/>
                <w:sz w:val="24"/>
                <w:szCs w:val="24"/>
              </w:rPr>
            </w:pPr>
          </w:p>
        </w:tc>
        <w:tc>
          <w:tcPr>
            <w:tcW w:w="5410" w:type="dxa"/>
            <w:shd w:val="clear" w:color="auto" w:fill="auto"/>
            <w:vAlign w:val="center"/>
          </w:tcPr>
          <w:p w14:paraId="5BCC2C2A" w14:textId="0462F297" w:rsidR="003171AF" w:rsidRPr="00B63314" w:rsidRDefault="00381FC7" w:rsidP="00CC7D8C">
            <w:pPr>
              <w:spacing w:before="120" w:after="120"/>
              <w:jc w:val="both"/>
              <w:rPr>
                <w:rFonts w:cs="Times New Roman"/>
                <w:b/>
                <w:bCs/>
                <w:sz w:val="24"/>
                <w:szCs w:val="24"/>
              </w:rPr>
            </w:pPr>
            <w:r>
              <w:rPr>
                <w:rFonts w:cs="Times New Roman"/>
                <w:b/>
                <w:bCs/>
                <w:i/>
                <w:iCs/>
                <w:sz w:val="24"/>
                <w:szCs w:val="24"/>
              </w:rPr>
              <w:t>Vốn b</w:t>
            </w:r>
            <w:r w:rsidR="003171AF" w:rsidRPr="00B63314">
              <w:rPr>
                <w:rFonts w:cs="Times New Roman"/>
                <w:b/>
                <w:bCs/>
                <w:i/>
                <w:iCs/>
                <w:sz w:val="24"/>
                <w:szCs w:val="24"/>
              </w:rPr>
              <w:t>ổ sung vốn cấp 1 (A2)= A21 – A22</w:t>
            </w:r>
          </w:p>
        </w:tc>
        <w:tc>
          <w:tcPr>
            <w:tcW w:w="7457" w:type="dxa"/>
          </w:tcPr>
          <w:p w14:paraId="42C724FF" w14:textId="77777777" w:rsidR="003171AF" w:rsidRPr="00B63314" w:rsidRDefault="003171AF" w:rsidP="00CC7D8C">
            <w:pPr>
              <w:spacing w:before="120" w:after="120"/>
              <w:jc w:val="both"/>
              <w:rPr>
                <w:rFonts w:cs="Times New Roman"/>
                <w:sz w:val="24"/>
                <w:szCs w:val="24"/>
              </w:rPr>
            </w:pPr>
          </w:p>
        </w:tc>
      </w:tr>
      <w:tr w:rsidR="003171AF" w:rsidRPr="009948F3" w14:paraId="6BA9D290" w14:textId="77777777" w:rsidTr="00EE693F">
        <w:trPr>
          <w:jc w:val="center"/>
        </w:trPr>
        <w:tc>
          <w:tcPr>
            <w:tcW w:w="978" w:type="dxa"/>
            <w:shd w:val="clear" w:color="auto" w:fill="auto"/>
            <w:vAlign w:val="center"/>
          </w:tcPr>
          <w:p w14:paraId="6003F91D" w14:textId="77777777" w:rsidR="003171AF" w:rsidRPr="00B63314" w:rsidRDefault="003171AF" w:rsidP="00CC7D8C">
            <w:pPr>
              <w:spacing w:before="120" w:after="120"/>
              <w:jc w:val="center"/>
              <w:rPr>
                <w:rFonts w:cs="Times New Roman"/>
                <w:sz w:val="24"/>
                <w:szCs w:val="24"/>
              </w:rPr>
            </w:pPr>
          </w:p>
        </w:tc>
        <w:tc>
          <w:tcPr>
            <w:tcW w:w="5410" w:type="dxa"/>
            <w:shd w:val="clear" w:color="auto" w:fill="auto"/>
            <w:vAlign w:val="center"/>
          </w:tcPr>
          <w:p w14:paraId="1378B012" w14:textId="6301424D" w:rsidR="003171AF" w:rsidRPr="00B63314" w:rsidRDefault="00381FC7" w:rsidP="00CC7D8C">
            <w:pPr>
              <w:spacing w:before="120" w:after="120"/>
              <w:jc w:val="both"/>
              <w:rPr>
                <w:rFonts w:cs="Times New Roman"/>
                <w:b/>
                <w:bCs/>
                <w:sz w:val="24"/>
                <w:szCs w:val="24"/>
              </w:rPr>
            </w:pPr>
            <w:r>
              <w:rPr>
                <w:rFonts w:cs="Times New Roman"/>
                <w:b/>
                <w:bCs/>
                <w:i/>
                <w:iCs/>
                <w:sz w:val="24"/>
                <w:szCs w:val="24"/>
              </w:rPr>
              <w:t>Vốn b</w:t>
            </w:r>
            <w:r w:rsidR="003171AF" w:rsidRPr="00B63314">
              <w:rPr>
                <w:rFonts w:cs="Times New Roman"/>
                <w:b/>
                <w:bCs/>
                <w:i/>
                <w:iCs/>
                <w:sz w:val="24"/>
                <w:szCs w:val="24"/>
              </w:rPr>
              <w:t>ổ sung vốn cấp 1 chưa giảm trừ (A21)</w:t>
            </w:r>
            <w:r w:rsidR="003171AF" w:rsidRPr="00B63314">
              <w:rPr>
                <w:rFonts w:cs="Times New Roman"/>
                <w:b/>
                <w:bCs/>
                <w:sz w:val="24"/>
                <w:szCs w:val="24"/>
                <w:lang w:val="pt-BR"/>
              </w:rPr>
              <w:t xml:space="preserve"> </w:t>
            </w:r>
            <w:r w:rsidR="00160DD8">
              <w:rPr>
                <w:rFonts w:cs="Times New Roman"/>
                <w:b/>
                <w:bCs/>
                <w:sz w:val="24"/>
                <w:szCs w:val="24"/>
                <w:lang w:val="pt-BR"/>
              </w:rPr>
              <w:t>=</w:t>
            </w:r>
            <w:r w:rsidR="003171AF" w:rsidRPr="00B63314">
              <w:rPr>
                <w:rFonts w:cs="Times New Roman"/>
                <w:b/>
                <w:bCs/>
                <w:sz w:val="24"/>
                <w:szCs w:val="24"/>
                <w:lang w:val="pt-BR"/>
              </w:rPr>
              <w:t>∑</w:t>
            </w:r>
            <w:r w:rsidR="00160DD8">
              <w:rPr>
                <w:rFonts w:cs="Times New Roman"/>
                <w:b/>
                <w:bCs/>
                <w:sz w:val="24"/>
                <w:szCs w:val="24"/>
                <w:lang w:val="pt-BR"/>
              </w:rPr>
              <w:t>(</w:t>
            </w:r>
            <w:r w:rsidR="003171AF">
              <w:rPr>
                <w:rFonts w:cs="Times New Roman"/>
                <w:b/>
                <w:bCs/>
                <w:sz w:val="24"/>
                <w:szCs w:val="24"/>
                <w:lang w:val="pt-BR"/>
              </w:rPr>
              <w:t>19</w:t>
            </w:r>
            <w:r w:rsidR="00160DD8">
              <w:rPr>
                <w:rFonts w:cs="Times New Roman"/>
                <w:b/>
                <w:bCs/>
                <w:sz w:val="24"/>
                <w:szCs w:val="24"/>
                <w:lang w:val="pt-BR"/>
              </w:rPr>
              <w:t xml:space="preserve">) </w:t>
            </w:r>
            <w:r w:rsidR="003171AF" w:rsidRPr="00B63314">
              <w:rPr>
                <w:rFonts w:cs="Times New Roman"/>
                <w:b/>
                <w:bCs/>
                <w:sz w:val="24"/>
                <w:szCs w:val="24"/>
                <w:lang w:val="pt-BR"/>
              </w:rPr>
              <w:t>÷</w:t>
            </w:r>
            <w:r w:rsidR="00160DD8">
              <w:rPr>
                <w:rFonts w:cs="Times New Roman"/>
                <w:b/>
                <w:bCs/>
                <w:sz w:val="24"/>
                <w:szCs w:val="24"/>
                <w:lang w:val="pt-BR"/>
              </w:rPr>
              <w:t xml:space="preserve"> (</w:t>
            </w:r>
            <w:r w:rsidR="003171AF">
              <w:rPr>
                <w:rFonts w:cs="Times New Roman"/>
                <w:b/>
                <w:bCs/>
                <w:sz w:val="24"/>
                <w:szCs w:val="24"/>
                <w:lang w:val="pt-BR"/>
              </w:rPr>
              <w:t>20</w:t>
            </w:r>
            <w:r w:rsidR="00160DD8">
              <w:rPr>
                <w:rFonts w:cs="Times New Roman"/>
                <w:b/>
                <w:bCs/>
                <w:sz w:val="24"/>
                <w:szCs w:val="24"/>
                <w:lang w:val="pt-BR"/>
              </w:rPr>
              <w:t>)</w:t>
            </w:r>
          </w:p>
        </w:tc>
        <w:tc>
          <w:tcPr>
            <w:tcW w:w="7457" w:type="dxa"/>
          </w:tcPr>
          <w:p w14:paraId="1807508C" w14:textId="77777777" w:rsidR="003171AF" w:rsidRPr="00B63314" w:rsidRDefault="003171AF" w:rsidP="00CC7D8C">
            <w:pPr>
              <w:spacing w:before="120" w:after="120"/>
              <w:jc w:val="both"/>
              <w:rPr>
                <w:rFonts w:cs="Times New Roman"/>
                <w:sz w:val="24"/>
                <w:szCs w:val="24"/>
              </w:rPr>
            </w:pPr>
          </w:p>
        </w:tc>
      </w:tr>
      <w:tr w:rsidR="003171AF" w:rsidRPr="009948F3" w14:paraId="54E35268" w14:textId="77777777" w:rsidTr="00EE693F">
        <w:trPr>
          <w:jc w:val="center"/>
        </w:trPr>
        <w:tc>
          <w:tcPr>
            <w:tcW w:w="978" w:type="dxa"/>
            <w:shd w:val="clear" w:color="auto" w:fill="auto"/>
            <w:vAlign w:val="center"/>
          </w:tcPr>
          <w:p w14:paraId="6CFFD7FE"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(19)</w:t>
            </w:r>
          </w:p>
        </w:tc>
        <w:tc>
          <w:tcPr>
            <w:tcW w:w="5410" w:type="dxa"/>
            <w:shd w:val="clear" w:color="auto" w:fill="auto"/>
            <w:vAlign w:val="center"/>
          </w:tcPr>
          <w:p w14:paraId="2E0E2AE1" w14:textId="06DD7CB6" w:rsidR="003171AF" w:rsidRPr="00B63314" w:rsidRDefault="003171AF" w:rsidP="00A572B9">
            <w:pPr>
              <w:spacing w:before="120" w:after="120"/>
              <w:jc w:val="both"/>
              <w:rPr>
                <w:rFonts w:cs="Times New Roman"/>
                <w:sz w:val="24"/>
                <w:szCs w:val="24"/>
              </w:rPr>
            </w:pPr>
            <w:r w:rsidRPr="00B63314">
              <w:rPr>
                <w:rFonts w:cs="Times New Roman"/>
                <w:sz w:val="24"/>
                <w:szCs w:val="24"/>
              </w:rPr>
              <w:t xml:space="preserve">Công cụ </w:t>
            </w:r>
            <w:r w:rsidR="00A572B9">
              <w:rPr>
                <w:rFonts w:cs="Times New Roman"/>
                <w:sz w:val="24"/>
                <w:szCs w:val="24"/>
              </w:rPr>
              <w:t>bổ sung vốn cấp 1</w:t>
            </w:r>
            <w:r w:rsidRPr="00B63314">
              <w:rPr>
                <w:rFonts w:cs="Times New Roman"/>
                <w:sz w:val="24"/>
                <w:szCs w:val="24"/>
              </w:rPr>
              <w:t xml:space="preserve"> do </w:t>
            </w:r>
            <w:r w:rsidR="00B84F92">
              <w:rPr>
                <w:rFonts w:cs="Times New Roman"/>
                <w:sz w:val="24"/>
                <w:szCs w:val="24"/>
              </w:rPr>
              <w:t xml:space="preserve">chính </w:t>
            </w:r>
            <w:r w:rsidRPr="00B63314">
              <w:rPr>
                <w:rFonts w:cs="Times New Roman"/>
                <w:sz w:val="24"/>
                <w:szCs w:val="24"/>
              </w:rPr>
              <w:t>ngân hàng</w:t>
            </w:r>
            <w:r w:rsidR="00A572B9">
              <w:rPr>
                <w:rFonts w:cs="Times New Roman"/>
                <w:sz w:val="24"/>
                <w:szCs w:val="24"/>
              </w:rPr>
              <w:t xml:space="preserve"> thương mại</w:t>
            </w:r>
            <w:r w:rsidRPr="00B63314">
              <w:rPr>
                <w:rFonts w:cs="Times New Roman"/>
                <w:sz w:val="24"/>
                <w:szCs w:val="24"/>
              </w:rPr>
              <w:t xml:space="preserve"> phát hành</w:t>
            </w:r>
          </w:p>
        </w:tc>
        <w:tc>
          <w:tcPr>
            <w:tcW w:w="7457" w:type="dxa"/>
          </w:tcPr>
          <w:p w14:paraId="708FBA19" w14:textId="307402AF" w:rsidR="003171AF" w:rsidRPr="00B63314" w:rsidRDefault="003171AF" w:rsidP="00A572B9">
            <w:pPr>
              <w:spacing w:before="120" w:after="120"/>
              <w:jc w:val="both"/>
              <w:rPr>
                <w:rFonts w:cs="Times New Roman"/>
                <w:sz w:val="24"/>
                <w:szCs w:val="24"/>
              </w:rPr>
            </w:pPr>
            <w:r w:rsidRPr="00B63314">
              <w:rPr>
                <w:rFonts w:cs="Times New Roman"/>
                <w:sz w:val="24"/>
                <w:szCs w:val="24"/>
              </w:rPr>
              <w:t xml:space="preserve">Lấy giá trị các công cụ </w:t>
            </w:r>
            <w:r w:rsidR="004463ED" w:rsidRPr="00FA6BAC">
              <w:rPr>
                <w:rFonts w:cs="Times New Roman"/>
                <w:sz w:val="24"/>
                <w:szCs w:val="24"/>
              </w:rPr>
              <w:t>bổ sung vốn cấp 1 đáp ứng đầy đủ các điều kiện quy định tạ</w:t>
            </w:r>
            <w:r w:rsidR="00EC2FCE">
              <w:rPr>
                <w:rFonts w:cs="Times New Roman"/>
                <w:sz w:val="24"/>
                <w:szCs w:val="24"/>
              </w:rPr>
              <w:t xml:space="preserve">i </w:t>
            </w:r>
            <w:r w:rsidR="00A572B9">
              <w:rPr>
                <w:rFonts w:cs="Times New Roman"/>
                <w:sz w:val="24"/>
                <w:szCs w:val="24"/>
              </w:rPr>
              <w:t>M</w:t>
            </w:r>
            <w:r w:rsidR="00EC2FCE">
              <w:rPr>
                <w:rFonts w:cs="Times New Roman"/>
                <w:sz w:val="24"/>
                <w:szCs w:val="24"/>
              </w:rPr>
              <w:t>ụ</w:t>
            </w:r>
            <w:r w:rsidR="00A572B9">
              <w:rPr>
                <w:rFonts w:cs="Times New Roman"/>
                <w:sz w:val="24"/>
                <w:szCs w:val="24"/>
              </w:rPr>
              <w:t>c III P</w:t>
            </w:r>
            <w:r w:rsidR="00EC2FCE">
              <w:rPr>
                <w:rFonts w:cs="Times New Roman"/>
                <w:sz w:val="24"/>
                <w:szCs w:val="24"/>
              </w:rPr>
              <w:t xml:space="preserve">hần </w:t>
            </w:r>
            <w:r w:rsidR="004463ED" w:rsidRPr="00FA6BAC">
              <w:rPr>
                <w:rFonts w:cs="Times New Roman"/>
                <w:sz w:val="24"/>
                <w:szCs w:val="24"/>
              </w:rPr>
              <w:t>này</w:t>
            </w:r>
          </w:p>
        </w:tc>
      </w:tr>
      <w:tr w:rsidR="003171AF" w:rsidRPr="009948F3" w14:paraId="6CAAA8D4" w14:textId="77777777" w:rsidTr="00EE693F">
        <w:trPr>
          <w:jc w:val="center"/>
        </w:trPr>
        <w:tc>
          <w:tcPr>
            <w:tcW w:w="978" w:type="dxa"/>
            <w:shd w:val="clear" w:color="auto" w:fill="auto"/>
            <w:vAlign w:val="center"/>
          </w:tcPr>
          <w:p w14:paraId="2FDD4D41"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lastRenderedPageBreak/>
              <w:t>(20)</w:t>
            </w:r>
          </w:p>
        </w:tc>
        <w:tc>
          <w:tcPr>
            <w:tcW w:w="5410" w:type="dxa"/>
            <w:shd w:val="clear" w:color="auto" w:fill="auto"/>
            <w:vAlign w:val="center"/>
          </w:tcPr>
          <w:p w14:paraId="57E9788D" w14:textId="5F03D922"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Thặng dư vốn cổ phần của các </w:t>
            </w:r>
            <w:r w:rsidR="00A572B9">
              <w:rPr>
                <w:rFonts w:cs="Times New Roman"/>
                <w:sz w:val="24"/>
                <w:szCs w:val="24"/>
              </w:rPr>
              <w:t>c</w:t>
            </w:r>
            <w:r w:rsidR="00A572B9" w:rsidRPr="00A572B9">
              <w:rPr>
                <w:rFonts w:cs="Times New Roman"/>
                <w:sz w:val="24"/>
                <w:szCs w:val="24"/>
              </w:rPr>
              <w:t>ông cụ bổ sung vốn cấp 1</w:t>
            </w:r>
            <w:r w:rsidRPr="00B63314">
              <w:rPr>
                <w:rFonts w:cs="Times New Roman"/>
                <w:sz w:val="24"/>
                <w:szCs w:val="24"/>
              </w:rPr>
              <w:t xml:space="preserve"> </w:t>
            </w:r>
          </w:p>
        </w:tc>
        <w:tc>
          <w:tcPr>
            <w:tcW w:w="7457" w:type="dxa"/>
          </w:tcPr>
          <w:p w14:paraId="32C28D12" w14:textId="76157BB5"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Thặng dư vốn cổ phần</w:t>
            </w:r>
            <w:r w:rsidRPr="00B63314">
              <w:rPr>
                <w:rFonts w:cs="Times New Roman"/>
                <w:sz w:val="24"/>
                <w:szCs w:val="24"/>
              </w:rPr>
              <w:t xml:space="preserve"> trên Báo cáo tình hình tài chính (được lập theo số liệu Bảng cân đối tài khoản kế toán) nhân với tỷ trọng của các loại cổ phần không phải là cổ phần phổ thông</w:t>
            </w:r>
            <w:r w:rsidR="005F43FA">
              <w:rPr>
                <w:rFonts w:cs="Times New Roman"/>
                <w:sz w:val="24"/>
                <w:szCs w:val="24"/>
              </w:rPr>
              <w:t xml:space="preserve"> và </w:t>
            </w:r>
            <w:r w:rsidR="005F43FA" w:rsidRPr="00FA6BAC">
              <w:rPr>
                <w:rFonts w:cs="Times New Roman"/>
                <w:sz w:val="24"/>
                <w:szCs w:val="24"/>
              </w:rPr>
              <w:t>đáp ứng đầy đủ các điều kiện quy định tạ</w:t>
            </w:r>
            <w:r w:rsidR="005F43FA">
              <w:rPr>
                <w:rFonts w:cs="Times New Roman"/>
                <w:sz w:val="24"/>
                <w:szCs w:val="24"/>
              </w:rPr>
              <w:t xml:space="preserve">i Mục III Phần </w:t>
            </w:r>
            <w:r w:rsidR="005F43FA" w:rsidRPr="00FA6BAC">
              <w:rPr>
                <w:rFonts w:cs="Times New Roman"/>
                <w:sz w:val="24"/>
                <w:szCs w:val="24"/>
              </w:rPr>
              <w:t>này</w:t>
            </w:r>
            <w:r w:rsidRPr="00B63314">
              <w:rPr>
                <w:rFonts w:cs="Times New Roman"/>
                <w:sz w:val="24"/>
                <w:szCs w:val="24"/>
              </w:rPr>
              <w:t xml:space="preserve"> trên tổng số cổ phần.</w:t>
            </w:r>
          </w:p>
        </w:tc>
      </w:tr>
      <w:tr w:rsidR="003171AF" w:rsidRPr="009948F3" w14:paraId="12AF5C32" w14:textId="77777777" w:rsidTr="00EE693F">
        <w:trPr>
          <w:jc w:val="center"/>
        </w:trPr>
        <w:tc>
          <w:tcPr>
            <w:tcW w:w="978" w:type="dxa"/>
            <w:shd w:val="clear" w:color="auto" w:fill="auto"/>
            <w:vAlign w:val="center"/>
          </w:tcPr>
          <w:p w14:paraId="6A1BBD2E" w14:textId="77777777" w:rsidR="003171AF" w:rsidRPr="00B63314" w:rsidRDefault="003171AF" w:rsidP="00CC7D8C">
            <w:pPr>
              <w:spacing w:before="120" w:after="120"/>
              <w:jc w:val="center"/>
              <w:rPr>
                <w:rFonts w:cs="Times New Roman"/>
                <w:sz w:val="24"/>
                <w:szCs w:val="24"/>
              </w:rPr>
            </w:pPr>
          </w:p>
        </w:tc>
        <w:tc>
          <w:tcPr>
            <w:tcW w:w="5410" w:type="dxa"/>
            <w:shd w:val="clear" w:color="auto" w:fill="auto"/>
            <w:vAlign w:val="center"/>
          </w:tcPr>
          <w:p w14:paraId="45358AC4" w14:textId="3CF80F79" w:rsidR="003171AF" w:rsidRPr="00B63314" w:rsidRDefault="003171AF" w:rsidP="00C32A2C">
            <w:pPr>
              <w:spacing w:before="120" w:after="120"/>
              <w:jc w:val="both"/>
              <w:rPr>
                <w:rFonts w:cs="Times New Roman"/>
                <w:i/>
                <w:iCs/>
                <w:sz w:val="24"/>
                <w:szCs w:val="24"/>
              </w:rPr>
            </w:pPr>
            <w:r w:rsidRPr="00B63314">
              <w:rPr>
                <w:rFonts w:cs="Times New Roman"/>
                <w:b/>
                <w:bCs/>
                <w:i/>
                <w:iCs/>
                <w:sz w:val="24"/>
                <w:szCs w:val="24"/>
              </w:rPr>
              <w:t xml:space="preserve">Các khoản giảm trừ khỏi </w:t>
            </w:r>
            <w:r w:rsidR="00381FC7">
              <w:rPr>
                <w:rFonts w:cs="Times New Roman"/>
                <w:b/>
                <w:bCs/>
                <w:i/>
                <w:iCs/>
                <w:sz w:val="24"/>
                <w:szCs w:val="24"/>
              </w:rPr>
              <w:t>Vốn b</w:t>
            </w:r>
            <w:r w:rsidR="00381FC7" w:rsidRPr="00B63314">
              <w:rPr>
                <w:rFonts w:cs="Times New Roman"/>
                <w:b/>
                <w:bCs/>
                <w:i/>
                <w:iCs/>
                <w:sz w:val="24"/>
                <w:szCs w:val="24"/>
              </w:rPr>
              <w:t xml:space="preserve">ổ </w:t>
            </w:r>
            <w:r w:rsidRPr="00B63314">
              <w:rPr>
                <w:rFonts w:cs="Times New Roman"/>
                <w:b/>
                <w:bCs/>
                <w:i/>
                <w:iCs/>
                <w:sz w:val="24"/>
                <w:szCs w:val="24"/>
              </w:rPr>
              <w:t xml:space="preserve">sung </w:t>
            </w:r>
            <w:r w:rsidR="00D166D8">
              <w:rPr>
                <w:rFonts w:cs="Times New Roman"/>
                <w:b/>
                <w:bCs/>
                <w:i/>
                <w:iCs/>
                <w:sz w:val="24"/>
                <w:szCs w:val="24"/>
              </w:rPr>
              <w:t>v</w:t>
            </w:r>
            <w:r w:rsidR="00D166D8" w:rsidRPr="00B63314">
              <w:rPr>
                <w:rFonts w:cs="Times New Roman"/>
                <w:b/>
                <w:bCs/>
                <w:i/>
                <w:iCs/>
                <w:sz w:val="24"/>
                <w:szCs w:val="24"/>
              </w:rPr>
              <w:t xml:space="preserve">ốn </w:t>
            </w:r>
            <w:r w:rsidRPr="00B63314">
              <w:rPr>
                <w:rFonts w:cs="Times New Roman"/>
                <w:b/>
                <w:bCs/>
                <w:i/>
                <w:iCs/>
                <w:sz w:val="24"/>
                <w:szCs w:val="24"/>
              </w:rPr>
              <w:t>cấp 1 (A22)=</w:t>
            </w:r>
            <w:r w:rsidRPr="00B63314">
              <w:rPr>
                <w:rFonts w:cs="Times New Roman"/>
                <w:b/>
                <w:bCs/>
                <w:sz w:val="24"/>
                <w:szCs w:val="24"/>
                <w:lang w:val="pt-BR"/>
              </w:rPr>
              <w:t xml:space="preserve"> ∑</w:t>
            </w:r>
            <w:r w:rsidR="00160DD8">
              <w:rPr>
                <w:rFonts w:cs="Times New Roman"/>
                <w:b/>
                <w:bCs/>
                <w:sz w:val="24"/>
                <w:szCs w:val="24"/>
                <w:lang w:val="pt-BR"/>
              </w:rPr>
              <w:t>(</w:t>
            </w:r>
            <w:r w:rsidRPr="00B63314">
              <w:rPr>
                <w:rFonts w:cs="Times New Roman"/>
                <w:b/>
                <w:bCs/>
                <w:sz w:val="24"/>
                <w:szCs w:val="24"/>
                <w:lang w:val="pt-BR"/>
              </w:rPr>
              <w:t>21</w:t>
            </w:r>
            <w:r w:rsidR="00160DD8">
              <w:rPr>
                <w:rFonts w:cs="Times New Roman"/>
                <w:b/>
                <w:bCs/>
                <w:sz w:val="24"/>
                <w:szCs w:val="24"/>
                <w:lang w:val="pt-BR"/>
              </w:rPr>
              <w:t>)</w:t>
            </w:r>
            <w:r w:rsidRPr="00B63314">
              <w:rPr>
                <w:rFonts w:cs="Times New Roman"/>
                <w:b/>
                <w:bCs/>
                <w:sz w:val="24"/>
                <w:szCs w:val="24"/>
                <w:lang w:val="pt-BR"/>
              </w:rPr>
              <w:t xml:space="preserve">÷ </w:t>
            </w:r>
            <w:r w:rsidR="00160DD8">
              <w:rPr>
                <w:rFonts w:cs="Times New Roman"/>
                <w:b/>
                <w:bCs/>
                <w:sz w:val="24"/>
                <w:szCs w:val="24"/>
                <w:lang w:val="pt-BR"/>
              </w:rPr>
              <w:t>(</w:t>
            </w:r>
            <w:r w:rsidRPr="00B63314">
              <w:rPr>
                <w:rFonts w:cs="Times New Roman"/>
                <w:b/>
                <w:bCs/>
                <w:sz w:val="24"/>
                <w:szCs w:val="24"/>
                <w:lang w:val="pt-BR"/>
              </w:rPr>
              <w:t>2</w:t>
            </w:r>
            <w:r w:rsidR="00EE693F">
              <w:rPr>
                <w:rFonts w:cs="Times New Roman"/>
                <w:b/>
                <w:bCs/>
                <w:sz w:val="24"/>
                <w:szCs w:val="24"/>
                <w:lang w:val="pt-BR"/>
              </w:rPr>
              <w:t>2</w:t>
            </w:r>
            <w:r w:rsidR="00160DD8">
              <w:rPr>
                <w:rFonts w:cs="Times New Roman"/>
                <w:b/>
                <w:bCs/>
                <w:sz w:val="24"/>
                <w:szCs w:val="24"/>
                <w:lang w:val="pt-BR"/>
              </w:rPr>
              <w:t>)</w:t>
            </w:r>
          </w:p>
        </w:tc>
        <w:tc>
          <w:tcPr>
            <w:tcW w:w="7457" w:type="dxa"/>
          </w:tcPr>
          <w:p w14:paraId="3219611D" w14:textId="77777777" w:rsidR="003171AF" w:rsidRPr="00B63314" w:rsidRDefault="003171AF" w:rsidP="00CC7D8C">
            <w:pPr>
              <w:spacing w:before="120" w:after="120"/>
              <w:jc w:val="both"/>
              <w:rPr>
                <w:rFonts w:cs="Times New Roman"/>
                <w:sz w:val="24"/>
                <w:szCs w:val="24"/>
              </w:rPr>
            </w:pPr>
          </w:p>
        </w:tc>
      </w:tr>
      <w:tr w:rsidR="003171AF" w:rsidRPr="009948F3" w14:paraId="72895D7A" w14:textId="77777777" w:rsidTr="00EE693F">
        <w:trPr>
          <w:jc w:val="center"/>
        </w:trPr>
        <w:tc>
          <w:tcPr>
            <w:tcW w:w="978" w:type="dxa"/>
            <w:shd w:val="clear" w:color="auto" w:fill="auto"/>
            <w:vAlign w:val="center"/>
          </w:tcPr>
          <w:p w14:paraId="6C70A8A7"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(21)</w:t>
            </w:r>
          </w:p>
        </w:tc>
        <w:tc>
          <w:tcPr>
            <w:tcW w:w="5410" w:type="dxa"/>
            <w:shd w:val="clear" w:color="auto" w:fill="auto"/>
            <w:vAlign w:val="center"/>
          </w:tcPr>
          <w:p w14:paraId="3902FB3D" w14:textId="6CC6E7D2"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Mua lại công cụ </w:t>
            </w:r>
            <w:r w:rsidR="006706B9" w:rsidRPr="006706B9">
              <w:rPr>
                <w:rFonts w:cs="Times New Roman"/>
                <w:sz w:val="24"/>
                <w:szCs w:val="24"/>
              </w:rPr>
              <w:t xml:space="preserve">bổ sung vốn cấp 1 do </w:t>
            </w:r>
            <w:r w:rsidR="00DA2412">
              <w:rPr>
                <w:rFonts w:cs="Times New Roman"/>
                <w:sz w:val="24"/>
                <w:szCs w:val="24"/>
              </w:rPr>
              <w:t xml:space="preserve">chính </w:t>
            </w:r>
            <w:r w:rsidR="006706B9" w:rsidRPr="006706B9">
              <w:rPr>
                <w:rFonts w:cs="Times New Roman"/>
                <w:sz w:val="24"/>
                <w:szCs w:val="24"/>
              </w:rPr>
              <w:t>ngân hàng thương mại phát hành</w:t>
            </w:r>
            <w:r w:rsidRPr="00B63314">
              <w:rPr>
                <w:rFonts w:cs="Times New Roman"/>
                <w:sz w:val="24"/>
                <w:szCs w:val="24"/>
              </w:rPr>
              <w:t xml:space="preserve"> </w:t>
            </w:r>
          </w:p>
        </w:tc>
        <w:tc>
          <w:tcPr>
            <w:tcW w:w="7457" w:type="dxa"/>
          </w:tcPr>
          <w:p w14:paraId="701132EB" w14:textId="6A33C724" w:rsidR="00F1465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00EA2703">
              <w:rPr>
                <w:rFonts w:cs="Times New Roman"/>
                <w:sz w:val="24"/>
                <w:szCs w:val="24"/>
              </w:rPr>
              <w:t>tổng của</w:t>
            </w:r>
            <w:r w:rsidR="004F4BD4">
              <w:rPr>
                <w:rFonts w:cs="Times New Roman"/>
                <w:sz w:val="24"/>
                <w:szCs w:val="24"/>
              </w:rPr>
              <w:t>:</w:t>
            </w:r>
          </w:p>
          <w:p w14:paraId="4B4BC332" w14:textId="4068C696" w:rsidR="003171AF" w:rsidRDefault="003171AF" w:rsidP="00CC7D8C">
            <w:pPr>
              <w:pStyle w:val="ListParagraph"/>
              <w:numPr>
                <w:ilvl w:val="0"/>
                <w:numId w:val="3"/>
              </w:numPr>
              <w:tabs>
                <w:tab w:val="left" w:pos="312"/>
              </w:tabs>
              <w:spacing w:before="120" w:after="120"/>
              <w:ind w:left="17" w:firstLine="0"/>
              <w:contextualSpacing w:val="0"/>
              <w:jc w:val="both"/>
              <w:rPr>
                <w:rFonts w:cs="Times New Roman"/>
                <w:sz w:val="24"/>
                <w:szCs w:val="24"/>
              </w:rPr>
            </w:pPr>
            <w:r w:rsidRPr="00F14654">
              <w:rPr>
                <w:rFonts w:cs="Times New Roman"/>
                <w:b/>
                <w:bCs/>
                <w:sz w:val="24"/>
                <w:szCs w:val="24"/>
              </w:rPr>
              <w:t>Cổ phiếu quỹ</w:t>
            </w:r>
            <w:r w:rsidRPr="00F14654">
              <w:rPr>
                <w:rFonts w:cs="Times New Roman"/>
                <w:sz w:val="24"/>
                <w:szCs w:val="24"/>
              </w:rPr>
              <w:t xml:space="preserve"> trên Báo cáo tình hình tài chính (được lập </w:t>
            </w:r>
            <w:proofErr w:type="gramStart"/>
            <w:r w:rsidRPr="00F14654">
              <w:rPr>
                <w:rFonts w:cs="Times New Roman"/>
                <w:sz w:val="24"/>
                <w:szCs w:val="24"/>
              </w:rPr>
              <w:t>theo</w:t>
            </w:r>
            <w:proofErr w:type="gramEnd"/>
            <w:r w:rsidRPr="00F14654">
              <w:rPr>
                <w:rFonts w:cs="Times New Roman"/>
                <w:sz w:val="24"/>
                <w:szCs w:val="24"/>
              </w:rPr>
              <w:t xml:space="preserve"> số liệu Bảng cân đối tài khoản kế toán) nhân với tỷ trọng của các loại cổ phần</w:t>
            </w:r>
            <w:r w:rsidR="005F578B">
              <w:rPr>
                <w:rFonts w:cs="Times New Roman"/>
                <w:sz w:val="24"/>
                <w:szCs w:val="24"/>
              </w:rPr>
              <w:t xml:space="preserve"> </w:t>
            </w:r>
            <w:r w:rsidRPr="00F14654">
              <w:rPr>
                <w:rFonts w:cs="Times New Roman"/>
                <w:sz w:val="24"/>
                <w:szCs w:val="24"/>
              </w:rPr>
              <w:t>không phải là cổ phần phổ thông</w:t>
            </w:r>
            <w:r w:rsidR="007D6562">
              <w:rPr>
                <w:rFonts w:cs="Times New Roman"/>
                <w:sz w:val="24"/>
                <w:szCs w:val="24"/>
              </w:rPr>
              <w:t xml:space="preserve"> </w:t>
            </w:r>
            <w:r w:rsidR="005F578B">
              <w:rPr>
                <w:rFonts w:cs="Times New Roman"/>
                <w:sz w:val="24"/>
                <w:szCs w:val="24"/>
              </w:rPr>
              <w:t xml:space="preserve">và </w:t>
            </w:r>
            <w:r w:rsidR="007D6562">
              <w:rPr>
                <w:rFonts w:cs="Times New Roman"/>
                <w:sz w:val="24"/>
                <w:szCs w:val="24"/>
              </w:rPr>
              <w:t xml:space="preserve">đáp ứng </w:t>
            </w:r>
            <w:r w:rsidR="007D6562" w:rsidRPr="00FA6BAC">
              <w:rPr>
                <w:rFonts w:cs="Times New Roman"/>
                <w:sz w:val="24"/>
                <w:szCs w:val="24"/>
              </w:rPr>
              <w:t xml:space="preserve">đáp ứng đầy đủ các điều kiện quy định tại </w:t>
            </w:r>
            <w:r w:rsidR="007D6562">
              <w:rPr>
                <w:rFonts w:cs="Times New Roman"/>
                <w:sz w:val="24"/>
                <w:szCs w:val="24"/>
              </w:rPr>
              <w:t>M</w:t>
            </w:r>
            <w:r w:rsidR="007D6562" w:rsidRPr="00EC2FCE">
              <w:rPr>
                <w:rFonts w:cs="Times New Roman"/>
                <w:sz w:val="24"/>
                <w:szCs w:val="24"/>
              </w:rPr>
              <w:t xml:space="preserve">ục III </w:t>
            </w:r>
            <w:r w:rsidR="007D6562">
              <w:rPr>
                <w:rFonts w:cs="Times New Roman"/>
                <w:sz w:val="24"/>
                <w:szCs w:val="24"/>
              </w:rPr>
              <w:t>P</w:t>
            </w:r>
            <w:r w:rsidR="007D6562" w:rsidRPr="00EC2FCE">
              <w:rPr>
                <w:rFonts w:cs="Times New Roman"/>
                <w:sz w:val="24"/>
                <w:szCs w:val="24"/>
              </w:rPr>
              <w:t>hần này</w:t>
            </w:r>
            <w:r w:rsidRPr="00F14654">
              <w:rPr>
                <w:rFonts w:cs="Times New Roman"/>
                <w:sz w:val="24"/>
                <w:szCs w:val="24"/>
              </w:rPr>
              <w:t xml:space="preserve"> trên tổng số cổ phần</w:t>
            </w:r>
            <w:r w:rsidR="00DA2412">
              <w:rPr>
                <w:rFonts w:cs="Times New Roman"/>
                <w:sz w:val="24"/>
                <w:szCs w:val="24"/>
              </w:rPr>
              <w:t>.</w:t>
            </w:r>
          </w:p>
          <w:p w14:paraId="426D34A4" w14:textId="79E58DB6" w:rsidR="00F14654" w:rsidRPr="00F14654" w:rsidRDefault="00F14654" w:rsidP="00606FDA">
            <w:pPr>
              <w:pStyle w:val="ListParagraph"/>
              <w:numPr>
                <w:ilvl w:val="0"/>
                <w:numId w:val="3"/>
              </w:numPr>
              <w:tabs>
                <w:tab w:val="left" w:pos="312"/>
              </w:tabs>
              <w:spacing w:before="120" w:after="120"/>
              <w:ind w:left="17" w:firstLine="0"/>
              <w:contextualSpacing w:val="0"/>
              <w:jc w:val="both"/>
              <w:rPr>
                <w:rFonts w:cs="Times New Roman"/>
                <w:sz w:val="24"/>
                <w:szCs w:val="24"/>
              </w:rPr>
            </w:pPr>
            <w:r>
              <w:rPr>
                <w:rFonts w:cs="Times New Roman"/>
                <w:sz w:val="24"/>
                <w:szCs w:val="24"/>
              </w:rPr>
              <w:t xml:space="preserve">Giá trị các </w:t>
            </w:r>
            <w:r w:rsidRPr="00B63314">
              <w:rPr>
                <w:rFonts w:cs="Times New Roman"/>
                <w:sz w:val="24"/>
                <w:szCs w:val="24"/>
              </w:rPr>
              <w:t xml:space="preserve">công cụ </w:t>
            </w:r>
            <w:r w:rsidRPr="00FA6BAC">
              <w:rPr>
                <w:rFonts w:cs="Times New Roman"/>
                <w:sz w:val="24"/>
                <w:szCs w:val="24"/>
              </w:rPr>
              <w:t xml:space="preserve">bổ sung vốn cấp 1 </w:t>
            </w:r>
            <w:r w:rsidR="00DA2412">
              <w:rPr>
                <w:rFonts w:cs="Times New Roman"/>
                <w:sz w:val="24"/>
                <w:szCs w:val="24"/>
              </w:rPr>
              <w:t xml:space="preserve">do chính ngân hàng thương mại phát hành </w:t>
            </w:r>
            <w:r w:rsidRPr="00FA6BAC">
              <w:rPr>
                <w:rFonts w:cs="Times New Roman"/>
                <w:sz w:val="24"/>
                <w:szCs w:val="24"/>
              </w:rPr>
              <w:t xml:space="preserve">đáp ứng đầy đủ các điều kiện quy định tại </w:t>
            </w:r>
            <w:r w:rsidR="006706B9">
              <w:rPr>
                <w:rFonts w:cs="Times New Roman"/>
                <w:sz w:val="24"/>
                <w:szCs w:val="24"/>
              </w:rPr>
              <w:t>M</w:t>
            </w:r>
            <w:r w:rsidR="00EC2FCE" w:rsidRPr="00EC2FCE">
              <w:rPr>
                <w:rFonts w:cs="Times New Roman"/>
                <w:sz w:val="24"/>
                <w:szCs w:val="24"/>
              </w:rPr>
              <w:t xml:space="preserve">ục III </w:t>
            </w:r>
            <w:r w:rsidR="006706B9">
              <w:rPr>
                <w:rFonts w:cs="Times New Roman"/>
                <w:sz w:val="24"/>
                <w:szCs w:val="24"/>
              </w:rPr>
              <w:t>P</w:t>
            </w:r>
            <w:r w:rsidR="00EC2FCE" w:rsidRPr="00EC2FCE">
              <w:rPr>
                <w:rFonts w:cs="Times New Roman"/>
                <w:sz w:val="24"/>
                <w:szCs w:val="24"/>
              </w:rPr>
              <w:t>hần này</w:t>
            </w:r>
            <w:r>
              <w:rPr>
                <w:rFonts w:cs="Times New Roman"/>
                <w:sz w:val="24"/>
                <w:szCs w:val="24"/>
              </w:rPr>
              <w:t xml:space="preserve"> (không phải cổ phiế</w:t>
            </w:r>
            <w:r w:rsidR="00EA2703">
              <w:rPr>
                <w:rFonts w:cs="Times New Roman"/>
                <w:sz w:val="24"/>
                <w:szCs w:val="24"/>
              </w:rPr>
              <w:t xml:space="preserve">u) được </w:t>
            </w:r>
            <w:r w:rsidR="00DA2412">
              <w:rPr>
                <w:rFonts w:cs="Times New Roman"/>
                <w:sz w:val="24"/>
                <w:szCs w:val="24"/>
              </w:rPr>
              <w:t xml:space="preserve">ngân hàng </w:t>
            </w:r>
            <w:r w:rsidR="00EA2703">
              <w:rPr>
                <w:rFonts w:cs="Times New Roman"/>
                <w:sz w:val="24"/>
                <w:szCs w:val="24"/>
              </w:rPr>
              <w:t>mua lại.</w:t>
            </w:r>
          </w:p>
        </w:tc>
      </w:tr>
      <w:tr w:rsidR="003171AF" w:rsidRPr="009948F3" w14:paraId="63CD8652" w14:textId="77777777" w:rsidTr="00EE693F">
        <w:trPr>
          <w:jc w:val="center"/>
        </w:trPr>
        <w:tc>
          <w:tcPr>
            <w:tcW w:w="978" w:type="dxa"/>
            <w:shd w:val="clear" w:color="auto" w:fill="auto"/>
            <w:vAlign w:val="center"/>
          </w:tcPr>
          <w:p w14:paraId="4B9D4D34" w14:textId="16E36EB4" w:rsidR="003171AF" w:rsidRPr="00B63314" w:rsidRDefault="003171AF" w:rsidP="00EE693F">
            <w:pPr>
              <w:spacing w:before="120" w:after="120"/>
              <w:jc w:val="center"/>
              <w:rPr>
                <w:rFonts w:cs="Times New Roman"/>
                <w:sz w:val="24"/>
                <w:szCs w:val="24"/>
              </w:rPr>
            </w:pPr>
            <w:r w:rsidRPr="00B63314">
              <w:rPr>
                <w:rFonts w:cs="Times New Roman"/>
                <w:sz w:val="24"/>
                <w:szCs w:val="24"/>
              </w:rPr>
              <w:t>(2</w:t>
            </w:r>
            <w:r w:rsidR="00EE693F">
              <w:rPr>
                <w:rFonts w:cs="Times New Roman"/>
                <w:sz w:val="24"/>
                <w:szCs w:val="24"/>
              </w:rPr>
              <w:t>2</w:t>
            </w:r>
            <w:r w:rsidRPr="00B63314">
              <w:rPr>
                <w:rFonts w:cs="Times New Roman"/>
                <w:sz w:val="24"/>
                <w:szCs w:val="24"/>
              </w:rPr>
              <w:t>)</w:t>
            </w:r>
          </w:p>
        </w:tc>
        <w:tc>
          <w:tcPr>
            <w:tcW w:w="5410" w:type="dxa"/>
            <w:shd w:val="clear" w:color="auto" w:fill="auto"/>
            <w:vAlign w:val="center"/>
          </w:tcPr>
          <w:p w14:paraId="6CA79BEE" w14:textId="77777777" w:rsidR="003171AF" w:rsidRPr="00B63314" w:rsidRDefault="003171AF" w:rsidP="00CC7D8C">
            <w:pPr>
              <w:spacing w:before="120" w:after="120"/>
              <w:jc w:val="both"/>
              <w:rPr>
                <w:rFonts w:cs="Times New Roman"/>
                <w:b/>
                <w:bCs/>
                <w:sz w:val="24"/>
                <w:szCs w:val="24"/>
              </w:rPr>
            </w:pPr>
            <w:r w:rsidRPr="00B63314">
              <w:rPr>
                <w:rFonts w:cs="Times New Roman"/>
                <w:sz w:val="24"/>
                <w:szCs w:val="24"/>
              </w:rPr>
              <w:t>Phần bù cho giá trị âm của Vốn cấp 2</w:t>
            </w:r>
          </w:p>
        </w:tc>
        <w:tc>
          <w:tcPr>
            <w:tcW w:w="7457" w:type="dxa"/>
          </w:tcPr>
          <w:p w14:paraId="7515E3B5" w14:textId="77777777" w:rsidR="003171AF" w:rsidRPr="00B63314" w:rsidRDefault="003171AF" w:rsidP="00CC7D8C">
            <w:pPr>
              <w:spacing w:before="120" w:after="120"/>
              <w:jc w:val="both"/>
              <w:rPr>
                <w:rFonts w:cs="Times New Roman"/>
                <w:sz w:val="24"/>
                <w:szCs w:val="24"/>
              </w:rPr>
            </w:pPr>
            <w:r>
              <w:rPr>
                <w:rFonts w:cs="Times New Roman"/>
                <w:sz w:val="24"/>
                <w:szCs w:val="24"/>
              </w:rPr>
              <w:t xml:space="preserve">Trường hợp B&lt;0, lấy giá trị giảm trừ là </w:t>
            </w:r>
            <m:oMath>
              <m:d>
                <m:dPr>
                  <m:begChr m:val="|"/>
                  <m:endChr m:val="|"/>
                  <m:ctrlPr>
                    <w:rPr>
                      <w:rFonts w:ascii="Cambria Math" w:hAnsi="Cambria Math" w:cs="Times New Roman"/>
                      <w:i/>
                      <w:sz w:val="24"/>
                      <w:szCs w:val="24"/>
                    </w:rPr>
                  </m:ctrlPr>
                </m:dPr>
                <m:e>
                  <m:r>
                    <w:rPr>
                      <w:rFonts w:ascii="Cambria Math" w:hAnsi="Cambria Math" w:cs="Times New Roman"/>
                      <w:sz w:val="24"/>
                      <w:szCs w:val="24"/>
                    </w:rPr>
                    <m:t>B</m:t>
                  </m:r>
                </m:e>
              </m:d>
            </m:oMath>
          </w:p>
        </w:tc>
      </w:tr>
      <w:tr w:rsidR="003171AF" w:rsidRPr="009948F3" w14:paraId="67DAAC00" w14:textId="77777777" w:rsidTr="00EE693F">
        <w:trPr>
          <w:jc w:val="center"/>
        </w:trPr>
        <w:tc>
          <w:tcPr>
            <w:tcW w:w="978" w:type="dxa"/>
            <w:shd w:val="clear" w:color="auto" w:fill="auto"/>
            <w:vAlign w:val="center"/>
          </w:tcPr>
          <w:p w14:paraId="5EA6E376" w14:textId="77777777" w:rsidR="003171AF" w:rsidRPr="00B63314" w:rsidRDefault="003171AF" w:rsidP="00CC7D8C">
            <w:pPr>
              <w:spacing w:before="120" w:after="120"/>
              <w:jc w:val="center"/>
              <w:rPr>
                <w:rFonts w:cs="Times New Roman"/>
                <w:sz w:val="24"/>
                <w:szCs w:val="24"/>
              </w:rPr>
            </w:pPr>
          </w:p>
        </w:tc>
        <w:tc>
          <w:tcPr>
            <w:tcW w:w="5410" w:type="dxa"/>
            <w:shd w:val="clear" w:color="auto" w:fill="auto"/>
            <w:vAlign w:val="center"/>
          </w:tcPr>
          <w:p w14:paraId="43710061" w14:textId="77777777" w:rsidR="003171AF" w:rsidRPr="00B63314" w:rsidRDefault="003171AF" w:rsidP="00CC7D8C">
            <w:pPr>
              <w:spacing w:before="120" w:after="120"/>
              <w:jc w:val="both"/>
              <w:rPr>
                <w:rFonts w:cs="Times New Roman"/>
                <w:b/>
                <w:bCs/>
                <w:sz w:val="24"/>
                <w:szCs w:val="24"/>
              </w:rPr>
            </w:pPr>
            <w:r w:rsidRPr="00B63314">
              <w:rPr>
                <w:rFonts w:cs="Times New Roman"/>
                <w:b/>
                <w:bCs/>
                <w:sz w:val="24"/>
                <w:szCs w:val="24"/>
              </w:rPr>
              <w:t>VỐN CẤP 2 (B) = B1 – B2</w:t>
            </w:r>
          </w:p>
        </w:tc>
        <w:tc>
          <w:tcPr>
            <w:tcW w:w="7457" w:type="dxa"/>
          </w:tcPr>
          <w:p w14:paraId="61287343" w14:textId="77777777" w:rsidR="003171AF" w:rsidRPr="00B63314" w:rsidRDefault="003171AF" w:rsidP="00CC7D8C">
            <w:pPr>
              <w:spacing w:before="120" w:after="120"/>
              <w:jc w:val="both"/>
              <w:rPr>
                <w:rFonts w:cs="Times New Roman"/>
                <w:sz w:val="24"/>
                <w:szCs w:val="24"/>
              </w:rPr>
            </w:pPr>
          </w:p>
        </w:tc>
      </w:tr>
      <w:tr w:rsidR="003171AF" w:rsidRPr="009948F3" w14:paraId="7A62D24F" w14:textId="77777777" w:rsidTr="00EE693F">
        <w:trPr>
          <w:jc w:val="center"/>
        </w:trPr>
        <w:tc>
          <w:tcPr>
            <w:tcW w:w="978" w:type="dxa"/>
            <w:shd w:val="clear" w:color="auto" w:fill="auto"/>
            <w:vAlign w:val="center"/>
          </w:tcPr>
          <w:p w14:paraId="4B0573F6" w14:textId="77777777" w:rsidR="003171AF" w:rsidRPr="00B63314" w:rsidRDefault="003171AF" w:rsidP="00CC7D8C">
            <w:pPr>
              <w:spacing w:before="120" w:after="120"/>
              <w:jc w:val="center"/>
              <w:rPr>
                <w:rFonts w:cs="Times New Roman"/>
                <w:sz w:val="24"/>
                <w:szCs w:val="24"/>
              </w:rPr>
            </w:pPr>
          </w:p>
        </w:tc>
        <w:tc>
          <w:tcPr>
            <w:tcW w:w="5410" w:type="dxa"/>
            <w:shd w:val="clear" w:color="auto" w:fill="auto"/>
            <w:vAlign w:val="center"/>
          </w:tcPr>
          <w:p w14:paraId="2B3E76CA" w14:textId="535F4AF3" w:rsidR="003171AF" w:rsidRPr="00B63314" w:rsidRDefault="003171AF" w:rsidP="00F34BEE">
            <w:pPr>
              <w:spacing w:before="120" w:after="120"/>
              <w:jc w:val="both"/>
              <w:rPr>
                <w:rFonts w:cs="Times New Roman"/>
                <w:b/>
                <w:bCs/>
                <w:sz w:val="24"/>
                <w:szCs w:val="24"/>
              </w:rPr>
            </w:pPr>
            <w:r w:rsidRPr="00B63314">
              <w:rPr>
                <w:rFonts w:cs="Times New Roman"/>
                <w:b/>
                <w:bCs/>
                <w:sz w:val="24"/>
                <w:szCs w:val="24"/>
              </w:rPr>
              <w:t>Vốn cấp 2 chưa giảm trừ (B1)=</w:t>
            </w:r>
            <w:r w:rsidRPr="00B63314">
              <w:rPr>
                <w:rFonts w:cs="Times New Roman"/>
                <w:b/>
                <w:bCs/>
                <w:sz w:val="24"/>
                <w:szCs w:val="24"/>
                <w:lang w:val="pt-BR"/>
              </w:rPr>
              <w:t xml:space="preserve"> ∑</w:t>
            </w:r>
            <w:r w:rsidR="00160DD8">
              <w:rPr>
                <w:rFonts w:cs="Times New Roman"/>
                <w:b/>
                <w:bCs/>
                <w:sz w:val="24"/>
                <w:szCs w:val="24"/>
                <w:lang w:val="pt-BR"/>
              </w:rPr>
              <w:t>(</w:t>
            </w:r>
            <w:r w:rsidR="00EE693F" w:rsidRPr="00B63314">
              <w:rPr>
                <w:rFonts w:cs="Times New Roman"/>
                <w:b/>
                <w:bCs/>
                <w:sz w:val="24"/>
                <w:szCs w:val="24"/>
                <w:lang w:val="pt-BR"/>
              </w:rPr>
              <w:t>2</w:t>
            </w:r>
            <w:r w:rsidR="00EE693F">
              <w:rPr>
                <w:rFonts w:cs="Times New Roman"/>
                <w:b/>
                <w:bCs/>
                <w:sz w:val="24"/>
                <w:szCs w:val="24"/>
                <w:lang w:val="pt-BR"/>
              </w:rPr>
              <w:t>3</w:t>
            </w:r>
            <w:r w:rsidR="00160DD8">
              <w:rPr>
                <w:rFonts w:cs="Times New Roman"/>
                <w:b/>
                <w:bCs/>
                <w:sz w:val="24"/>
                <w:szCs w:val="24"/>
                <w:lang w:val="pt-BR"/>
              </w:rPr>
              <w:t xml:space="preserve">) </w:t>
            </w:r>
            <w:r w:rsidRPr="00B63314">
              <w:rPr>
                <w:rFonts w:cs="Times New Roman"/>
                <w:b/>
                <w:bCs/>
                <w:sz w:val="24"/>
                <w:szCs w:val="24"/>
                <w:lang w:val="pt-BR"/>
              </w:rPr>
              <w:t>÷</w:t>
            </w:r>
            <w:r w:rsidR="00160DD8">
              <w:rPr>
                <w:rFonts w:cs="Times New Roman"/>
                <w:b/>
                <w:bCs/>
                <w:sz w:val="24"/>
                <w:szCs w:val="24"/>
                <w:lang w:val="pt-BR"/>
              </w:rPr>
              <w:t xml:space="preserve"> (</w:t>
            </w:r>
            <w:r w:rsidR="00112ABE" w:rsidRPr="00B63314">
              <w:rPr>
                <w:rFonts w:cs="Times New Roman"/>
                <w:b/>
                <w:bCs/>
                <w:sz w:val="24"/>
                <w:szCs w:val="24"/>
                <w:lang w:val="pt-BR"/>
              </w:rPr>
              <w:t>2</w:t>
            </w:r>
            <w:r w:rsidR="00112ABE">
              <w:rPr>
                <w:rFonts w:cs="Times New Roman"/>
                <w:b/>
                <w:bCs/>
                <w:sz w:val="24"/>
                <w:szCs w:val="24"/>
                <w:lang w:val="pt-BR"/>
              </w:rPr>
              <w:t>5</w:t>
            </w:r>
            <w:r w:rsidR="00160DD8">
              <w:rPr>
                <w:rFonts w:cs="Times New Roman"/>
                <w:b/>
                <w:bCs/>
                <w:sz w:val="24"/>
                <w:szCs w:val="24"/>
                <w:lang w:val="pt-BR"/>
              </w:rPr>
              <w:t>)</w:t>
            </w:r>
          </w:p>
        </w:tc>
        <w:tc>
          <w:tcPr>
            <w:tcW w:w="7457" w:type="dxa"/>
          </w:tcPr>
          <w:p w14:paraId="165FF5BB" w14:textId="77777777" w:rsidR="003171AF" w:rsidRPr="00B63314" w:rsidRDefault="003171AF" w:rsidP="00CC7D8C">
            <w:pPr>
              <w:spacing w:before="120" w:after="120"/>
              <w:jc w:val="both"/>
              <w:rPr>
                <w:rFonts w:cs="Times New Roman"/>
                <w:sz w:val="24"/>
                <w:szCs w:val="24"/>
              </w:rPr>
            </w:pPr>
          </w:p>
        </w:tc>
      </w:tr>
      <w:tr w:rsidR="003171AF" w:rsidRPr="009948F3" w14:paraId="57CC114C" w14:textId="77777777" w:rsidTr="00EE693F">
        <w:trPr>
          <w:jc w:val="center"/>
        </w:trPr>
        <w:tc>
          <w:tcPr>
            <w:tcW w:w="978" w:type="dxa"/>
            <w:shd w:val="clear" w:color="auto" w:fill="auto"/>
            <w:vAlign w:val="center"/>
          </w:tcPr>
          <w:p w14:paraId="3C2B1690" w14:textId="09CB38B4" w:rsidR="003171AF" w:rsidRPr="00B63314" w:rsidRDefault="003171AF" w:rsidP="00F34BEE">
            <w:pPr>
              <w:spacing w:before="120" w:after="120"/>
              <w:jc w:val="center"/>
              <w:rPr>
                <w:rFonts w:cs="Times New Roman"/>
                <w:sz w:val="24"/>
                <w:szCs w:val="24"/>
              </w:rPr>
            </w:pPr>
            <w:r w:rsidRPr="00B63314">
              <w:rPr>
                <w:rFonts w:cs="Times New Roman"/>
                <w:sz w:val="24"/>
                <w:szCs w:val="24"/>
              </w:rPr>
              <w:t>(</w:t>
            </w:r>
            <w:r w:rsidR="00EE693F" w:rsidRPr="00B63314">
              <w:rPr>
                <w:rFonts w:cs="Times New Roman"/>
                <w:sz w:val="24"/>
                <w:szCs w:val="24"/>
              </w:rPr>
              <w:t>2</w:t>
            </w:r>
            <w:r w:rsidR="00EE693F">
              <w:rPr>
                <w:rFonts w:cs="Times New Roman"/>
                <w:sz w:val="24"/>
                <w:szCs w:val="24"/>
              </w:rPr>
              <w:t>3</w:t>
            </w:r>
            <w:r w:rsidRPr="00B63314">
              <w:rPr>
                <w:rFonts w:cs="Times New Roman"/>
                <w:sz w:val="24"/>
                <w:szCs w:val="24"/>
              </w:rPr>
              <w:t>)</w:t>
            </w:r>
          </w:p>
        </w:tc>
        <w:tc>
          <w:tcPr>
            <w:tcW w:w="5410" w:type="dxa"/>
            <w:shd w:val="clear" w:color="auto" w:fill="auto"/>
            <w:vAlign w:val="center"/>
          </w:tcPr>
          <w:p w14:paraId="5C0D6183"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Nợ thứ cấp do ngân hàng phát hành, ký kết đáp ứng đầy đủ các điều kiện sau:</w:t>
            </w:r>
          </w:p>
          <w:p w14:paraId="0862B835" w14:textId="7D412540"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(i) Có kỳ hạn ban đầu từ </w:t>
            </w:r>
            <w:r w:rsidR="00A23B06">
              <w:rPr>
                <w:rFonts w:cs="Times New Roman"/>
                <w:sz w:val="24"/>
                <w:szCs w:val="24"/>
              </w:rPr>
              <w:t>05</w:t>
            </w:r>
            <w:r w:rsidRPr="00B63314">
              <w:rPr>
                <w:rFonts w:cs="Times New Roman"/>
                <w:sz w:val="24"/>
                <w:szCs w:val="24"/>
              </w:rPr>
              <w:t xml:space="preserve"> năm trở lên;</w:t>
            </w:r>
          </w:p>
          <w:p w14:paraId="4E418605"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lastRenderedPageBreak/>
              <w:t>(ii) Không được đảm bảo bằng tài sản của chính ngân hàng;</w:t>
            </w:r>
          </w:p>
          <w:p w14:paraId="42BF5392" w14:textId="68D457AF"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(iii) Ngân hàng được trả nợ trước thời gian đáo hạn với điều kiện sau khi thực hiện vẫn đảm bảo các tỷ lệ, giới hạn bảo đảm an toàn theo quy định và báo cáo Ngân hàng Nhà nước (Cục Quản lý, giám sát tổ chức tín dụng hoặc </w:t>
            </w:r>
            <w:r w:rsidR="00A23B06">
              <w:rPr>
                <w:rFonts w:cs="Times New Roman"/>
                <w:sz w:val="24"/>
                <w:szCs w:val="24"/>
              </w:rPr>
              <w:t>Ngân hàng Nhà nước chi nhánh Khu vực</w:t>
            </w:r>
            <w:r w:rsidRPr="00B63314">
              <w:rPr>
                <w:rFonts w:cs="Times New Roman"/>
                <w:sz w:val="24"/>
                <w:szCs w:val="24"/>
              </w:rPr>
              <w:t xml:space="preserve"> theo đối tượng giám sát) để giám sát;</w:t>
            </w:r>
          </w:p>
          <w:p w14:paraId="40F5D524"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(iv) Ngân hàng được ngừng trả lãi và chuyển lãi lũy kế sang năm tiếp theo nếu việc trả lãi dẫn đến kết quả kinh doanh trong năm bị lỗ; </w:t>
            </w:r>
          </w:p>
          <w:p w14:paraId="31FE9C66"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(v) Trong trường hợp thanh lý ngân hàng, người sở hữu khoản nợ thứ cấp chỉ được thanh toán sau khi ngân hàng đã thanh toán cho tất cả các chủ nợ khác; </w:t>
            </w:r>
          </w:p>
          <w:p w14:paraId="0FC2B220"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(vi) Lãi suất cố định hoặc công thức tính lãi suất được xác định trước và ghi rõ trong hợp đồng, tài liệu phát hành.</w:t>
            </w:r>
          </w:p>
          <w:p w14:paraId="3B382A86" w14:textId="65EC7BF3"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 Đối với lãi suất cố định, việc điều chỉnh tăng lãi suất chỉ được thực hiện sau </w:t>
            </w:r>
            <w:r w:rsidR="00A23B06">
              <w:rPr>
                <w:rFonts w:cs="Times New Roman"/>
                <w:sz w:val="24"/>
                <w:szCs w:val="24"/>
              </w:rPr>
              <w:t>0</w:t>
            </w:r>
            <w:r w:rsidRPr="00B63314">
              <w:rPr>
                <w:rFonts w:cs="Times New Roman"/>
                <w:sz w:val="24"/>
                <w:szCs w:val="24"/>
              </w:rPr>
              <w:t xml:space="preserve">5 năm kể từ ngày phát hành, ký kết hợp đồng và chỉ được thay đổi </w:t>
            </w:r>
            <w:r w:rsidR="00A23B06">
              <w:rPr>
                <w:rFonts w:cs="Times New Roman"/>
                <w:sz w:val="24"/>
                <w:szCs w:val="24"/>
              </w:rPr>
              <w:t>0</w:t>
            </w:r>
            <w:r w:rsidRPr="00B63314">
              <w:rPr>
                <w:rFonts w:cs="Times New Roman"/>
                <w:sz w:val="24"/>
                <w:szCs w:val="24"/>
              </w:rPr>
              <w:t xml:space="preserve">1 lần trong suốt thời hạn của nợ thứ cấp. </w:t>
            </w:r>
          </w:p>
          <w:p w14:paraId="74C439A8" w14:textId="3039C42C" w:rsidR="003171AF" w:rsidRPr="00B63314" w:rsidRDefault="003171AF" w:rsidP="00CC7D8C">
            <w:pPr>
              <w:spacing w:before="120" w:after="120"/>
              <w:jc w:val="both"/>
              <w:rPr>
                <w:rFonts w:cs="Times New Roman"/>
                <w:b/>
                <w:bCs/>
                <w:sz w:val="24"/>
                <w:szCs w:val="24"/>
              </w:rPr>
            </w:pPr>
            <w:r w:rsidRPr="00B63314">
              <w:rPr>
                <w:rFonts w:cs="Times New Roman"/>
                <w:sz w:val="24"/>
                <w:szCs w:val="24"/>
              </w:rPr>
              <w:t xml:space="preserve">- Đối với lãi suất tính theo công thức, công thức không được thay đổi và chỉ được thay đổi biên độ trong công thức (nếu có) </w:t>
            </w:r>
            <w:r w:rsidR="00A23B06">
              <w:rPr>
                <w:rFonts w:cs="Times New Roman"/>
                <w:sz w:val="24"/>
                <w:szCs w:val="24"/>
              </w:rPr>
              <w:t>0</w:t>
            </w:r>
            <w:r w:rsidRPr="00B63314">
              <w:rPr>
                <w:rFonts w:cs="Times New Roman"/>
                <w:sz w:val="24"/>
                <w:szCs w:val="24"/>
              </w:rPr>
              <w:t xml:space="preserve">1 lần sau </w:t>
            </w:r>
            <w:r w:rsidR="00A23B06">
              <w:rPr>
                <w:rFonts w:cs="Times New Roman"/>
                <w:sz w:val="24"/>
                <w:szCs w:val="24"/>
              </w:rPr>
              <w:t>0</w:t>
            </w:r>
            <w:r w:rsidRPr="00B63314">
              <w:rPr>
                <w:rFonts w:cs="Times New Roman"/>
                <w:sz w:val="24"/>
                <w:szCs w:val="24"/>
              </w:rPr>
              <w:t>5 năm kể từ ngày phát hành, ký kết hợp đồng.</w:t>
            </w:r>
          </w:p>
        </w:tc>
        <w:tc>
          <w:tcPr>
            <w:tcW w:w="7457" w:type="dxa"/>
          </w:tcPr>
          <w:p w14:paraId="26E4E036" w14:textId="2513C022" w:rsidR="003171AF" w:rsidRPr="00B63314" w:rsidRDefault="003171AF" w:rsidP="00CC7D8C">
            <w:pPr>
              <w:spacing w:before="120" w:after="120"/>
              <w:jc w:val="both"/>
              <w:rPr>
                <w:rFonts w:cs="Times New Roman"/>
                <w:sz w:val="24"/>
                <w:szCs w:val="24"/>
              </w:rPr>
            </w:pPr>
            <w:r w:rsidRPr="00B63314">
              <w:rPr>
                <w:rFonts w:cs="Times New Roman"/>
                <w:sz w:val="24"/>
                <w:szCs w:val="24"/>
              </w:rPr>
              <w:lastRenderedPageBreak/>
              <w:t xml:space="preserve">- Tại thời điểm xác định giá trị, nếu thời hạn còn lại của </w:t>
            </w:r>
            <w:r w:rsidR="00DA2412">
              <w:rPr>
                <w:rFonts w:cs="Times New Roman"/>
                <w:sz w:val="24"/>
                <w:szCs w:val="24"/>
              </w:rPr>
              <w:t>nợ thứ cấp</w:t>
            </w:r>
            <w:r w:rsidRPr="00B63314">
              <w:rPr>
                <w:rFonts w:cs="Times New Roman"/>
                <w:sz w:val="24"/>
                <w:szCs w:val="24"/>
              </w:rPr>
              <w:t xml:space="preserve"> trên </w:t>
            </w:r>
            <w:r w:rsidR="00A23B06">
              <w:rPr>
                <w:rFonts w:cs="Times New Roman"/>
                <w:sz w:val="24"/>
                <w:szCs w:val="24"/>
              </w:rPr>
              <w:t>0</w:t>
            </w:r>
            <w:r w:rsidRPr="00B63314">
              <w:rPr>
                <w:rFonts w:cs="Times New Roman"/>
                <w:sz w:val="24"/>
                <w:szCs w:val="24"/>
              </w:rPr>
              <w:t>5 năm, toàn bộ giá trị nợ thứ cấp được tính vào vốn cấp 2.</w:t>
            </w:r>
          </w:p>
          <w:p w14:paraId="357A4CF6"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lastRenderedPageBreak/>
              <w:t>- Bắt đầu từ năm thứ năm trước khi đến hạn thanh toán, mỗi năm tại ngày đầu tiên của năm (tính theo ngày phát hành), giá trị nợ thứ cấp được tính vào vốn cấp 2 sẽ phải được khấu trừ 20% của tổng mệnh giá.</w:t>
            </w:r>
          </w:p>
          <w:p w14:paraId="2FE74EF0" w14:textId="77777777" w:rsidR="003171AF" w:rsidRPr="00B63314" w:rsidRDefault="003171AF" w:rsidP="00CC7D8C">
            <w:pPr>
              <w:spacing w:before="120" w:after="120"/>
              <w:jc w:val="both"/>
              <w:rPr>
                <w:rFonts w:cs="Times New Roman"/>
                <w:sz w:val="24"/>
                <w:szCs w:val="24"/>
              </w:rPr>
            </w:pPr>
          </w:p>
        </w:tc>
      </w:tr>
      <w:tr w:rsidR="003171AF" w:rsidRPr="009948F3" w14:paraId="7BE00367" w14:textId="77777777" w:rsidTr="00EE693F">
        <w:trPr>
          <w:jc w:val="center"/>
        </w:trPr>
        <w:tc>
          <w:tcPr>
            <w:tcW w:w="978" w:type="dxa"/>
            <w:shd w:val="clear" w:color="auto" w:fill="auto"/>
            <w:vAlign w:val="center"/>
          </w:tcPr>
          <w:p w14:paraId="4AC06EB8" w14:textId="01BE9B91" w:rsidR="003171AF" w:rsidRPr="00B63314" w:rsidRDefault="003171AF" w:rsidP="00F34BEE">
            <w:pPr>
              <w:spacing w:before="120" w:after="120"/>
              <w:jc w:val="center"/>
              <w:rPr>
                <w:rFonts w:cs="Times New Roman"/>
                <w:sz w:val="24"/>
                <w:szCs w:val="24"/>
              </w:rPr>
            </w:pPr>
            <w:r w:rsidRPr="00B63314">
              <w:rPr>
                <w:rFonts w:cs="Times New Roman"/>
                <w:sz w:val="24"/>
                <w:szCs w:val="24"/>
              </w:rPr>
              <w:lastRenderedPageBreak/>
              <w:t>(</w:t>
            </w:r>
            <w:r w:rsidR="00112ABE" w:rsidRPr="00B63314">
              <w:rPr>
                <w:rFonts w:cs="Times New Roman"/>
                <w:sz w:val="24"/>
                <w:szCs w:val="24"/>
              </w:rPr>
              <w:t>2</w:t>
            </w:r>
            <w:r w:rsidR="00112ABE">
              <w:rPr>
                <w:rFonts w:cs="Times New Roman"/>
                <w:sz w:val="24"/>
                <w:szCs w:val="24"/>
              </w:rPr>
              <w:t>4</w:t>
            </w:r>
            <w:r w:rsidRPr="00B63314">
              <w:rPr>
                <w:rFonts w:cs="Times New Roman"/>
                <w:sz w:val="24"/>
                <w:szCs w:val="24"/>
              </w:rPr>
              <w:t>)</w:t>
            </w:r>
          </w:p>
        </w:tc>
        <w:tc>
          <w:tcPr>
            <w:tcW w:w="5410" w:type="dxa"/>
            <w:shd w:val="clear" w:color="auto" w:fill="auto"/>
            <w:vAlign w:val="center"/>
          </w:tcPr>
          <w:p w14:paraId="53646814" w14:textId="0862BA88" w:rsidR="003171AF" w:rsidRPr="00B63314" w:rsidRDefault="003171AF">
            <w:pPr>
              <w:spacing w:before="120" w:after="120"/>
              <w:jc w:val="both"/>
              <w:rPr>
                <w:rFonts w:cs="Times New Roman"/>
                <w:b/>
                <w:bCs/>
                <w:sz w:val="24"/>
                <w:szCs w:val="24"/>
              </w:rPr>
            </w:pPr>
            <w:r w:rsidRPr="00B63314">
              <w:rPr>
                <w:rFonts w:cs="Times New Roman"/>
                <w:sz w:val="24"/>
                <w:szCs w:val="24"/>
              </w:rPr>
              <w:t xml:space="preserve">80% dự phòng chung theo quy định về mức trích, phương pháp trích dự phòng rủi ro và sử dụng dự phòng để xử lý rủi ro cho các danh mục </w:t>
            </w:r>
            <w:r w:rsidR="00FB08CF">
              <w:rPr>
                <w:rFonts w:cs="Times New Roman"/>
                <w:sz w:val="24"/>
                <w:szCs w:val="24"/>
              </w:rPr>
              <w:t>được</w:t>
            </w:r>
            <w:r w:rsidRPr="00B63314">
              <w:rPr>
                <w:rFonts w:cs="Times New Roman"/>
                <w:sz w:val="24"/>
                <w:szCs w:val="24"/>
              </w:rPr>
              <w:t xml:space="preserve"> áp dụng phương pháp tiêu chuẩn khi tính tài sản có rủi ro tín dụng</w:t>
            </w:r>
            <w:r w:rsidRPr="00B63314" w:rsidDel="00FC4D17">
              <w:rPr>
                <w:rFonts w:cs="Times New Roman"/>
                <w:sz w:val="24"/>
                <w:szCs w:val="24"/>
              </w:rPr>
              <w:t xml:space="preserve"> </w:t>
            </w:r>
            <w:r w:rsidR="0061643D">
              <w:rPr>
                <w:rFonts w:cs="Times New Roman"/>
                <w:sz w:val="24"/>
                <w:szCs w:val="24"/>
              </w:rPr>
              <w:t>khách hàng</w:t>
            </w:r>
          </w:p>
        </w:tc>
        <w:tc>
          <w:tcPr>
            <w:tcW w:w="7457" w:type="dxa"/>
          </w:tcPr>
          <w:p w14:paraId="4DF99BEF"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Lấy 80% tổng các khoản mục </w:t>
            </w:r>
            <w:r w:rsidRPr="00B63314">
              <w:rPr>
                <w:rFonts w:cs="Times New Roman"/>
                <w:b/>
                <w:bCs/>
                <w:sz w:val="24"/>
                <w:szCs w:val="24"/>
              </w:rPr>
              <w:t>Dự phòng chung</w:t>
            </w:r>
            <w:r w:rsidRPr="00B63314">
              <w:rPr>
                <w:rFonts w:cs="Times New Roman"/>
                <w:sz w:val="24"/>
                <w:szCs w:val="24"/>
              </w:rPr>
              <w:t> trên Báo cáo tình hình tài chính được lập theo số liệu Bảng cân đối tài khoản kế toán.</w:t>
            </w:r>
          </w:p>
        </w:tc>
      </w:tr>
      <w:tr w:rsidR="003171AF" w:rsidRPr="009948F3" w14:paraId="378FE675" w14:textId="77777777" w:rsidTr="00EE693F">
        <w:trPr>
          <w:jc w:val="center"/>
        </w:trPr>
        <w:tc>
          <w:tcPr>
            <w:tcW w:w="978" w:type="dxa"/>
            <w:shd w:val="clear" w:color="auto" w:fill="auto"/>
            <w:vAlign w:val="center"/>
          </w:tcPr>
          <w:p w14:paraId="5BEF6F9E" w14:textId="4E9AB75E" w:rsidR="003171AF" w:rsidRPr="00B63314" w:rsidRDefault="003171AF" w:rsidP="00F34BEE">
            <w:pPr>
              <w:spacing w:before="120" w:after="120"/>
              <w:jc w:val="center"/>
              <w:rPr>
                <w:rFonts w:cs="Times New Roman"/>
                <w:sz w:val="24"/>
                <w:szCs w:val="24"/>
              </w:rPr>
            </w:pPr>
            <w:r w:rsidRPr="00B63314">
              <w:rPr>
                <w:rFonts w:cs="Times New Roman"/>
                <w:sz w:val="24"/>
                <w:szCs w:val="24"/>
              </w:rPr>
              <w:t>(</w:t>
            </w:r>
            <w:r w:rsidR="00112ABE" w:rsidRPr="00B63314">
              <w:rPr>
                <w:rFonts w:cs="Times New Roman"/>
                <w:sz w:val="24"/>
                <w:szCs w:val="24"/>
              </w:rPr>
              <w:t>2</w:t>
            </w:r>
            <w:r w:rsidR="00112ABE">
              <w:rPr>
                <w:rFonts w:cs="Times New Roman"/>
                <w:sz w:val="24"/>
                <w:szCs w:val="24"/>
              </w:rPr>
              <w:t>5</w:t>
            </w:r>
            <w:r w:rsidRPr="00B63314">
              <w:rPr>
                <w:rFonts w:cs="Times New Roman"/>
                <w:sz w:val="24"/>
                <w:szCs w:val="24"/>
              </w:rPr>
              <w:t>)</w:t>
            </w:r>
          </w:p>
        </w:tc>
        <w:tc>
          <w:tcPr>
            <w:tcW w:w="5410" w:type="dxa"/>
            <w:shd w:val="clear" w:color="auto" w:fill="auto"/>
            <w:vAlign w:val="center"/>
          </w:tcPr>
          <w:p w14:paraId="0B99DB24" w14:textId="20797851" w:rsidR="003171AF" w:rsidRPr="00B63314" w:rsidRDefault="003171AF">
            <w:pPr>
              <w:spacing w:before="120" w:after="120"/>
              <w:jc w:val="both"/>
              <w:rPr>
                <w:rFonts w:cs="Times New Roman"/>
                <w:b/>
                <w:bCs/>
                <w:sz w:val="24"/>
                <w:szCs w:val="24"/>
              </w:rPr>
            </w:pPr>
            <w:r w:rsidRPr="00B63314">
              <w:rPr>
                <w:rFonts w:cs="Times New Roman"/>
                <w:sz w:val="24"/>
                <w:szCs w:val="24"/>
              </w:rPr>
              <w:t xml:space="preserve">Phần chênh lệch dương giữa dự phòng </w:t>
            </w:r>
            <w:r w:rsidR="00B91913" w:rsidRPr="00160DD8">
              <w:rPr>
                <w:rFonts w:cs="Times New Roman"/>
                <w:sz w:val="24"/>
                <w:szCs w:val="24"/>
              </w:rPr>
              <w:t>rủi ro</w:t>
            </w:r>
            <w:r w:rsidR="00B91913">
              <w:rPr>
                <w:rFonts w:cs="Times New Roman"/>
                <w:sz w:val="24"/>
                <w:szCs w:val="24"/>
              </w:rPr>
              <w:t xml:space="preserve"> </w:t>
            </w:r>
            <w:r w:rsidRPr="00B63314">
              <w:rPr>
                <w:rFonts w:cs="Times New Roman"/>
                <w:sz w:val="24"/>
                <w:szCs w:val="24"/>
              </w:rPr>
              <w:t>và tổn thất dự kiến cho danh mục được</w:t>
            </w:r>
            <w:r w:rsidRPr="00B63314">
              <w:rPr>
                <w:rFonts w:cs="Times New Roman"/>
                <w:i/>
                <w:iCs/>
                <w:sz w:val="24"/>
                <w:szCs w:val="24"/>
              </w:rPr>
              <w:t xml:space="preserve"> </w:t>
            </w:r>
            <w:r w:rsidRPr="00B63314">
              <w:rPr>
                <w:rFonts w:cs="Times New Roman"/>
                <w:sz w:val="24"/>
                <w:szCs w:val="24"/>
              </w:rPr>
              <w:t xml:space="preserve">áp dụng </w:t>
            </w:r>
            <w:r w:rsidR="00904DDB">
              <w:rPr>
                <w:rFonts w:cs="Times New Roman"/>
                <w:sz w:val="24"/>
                <w:szCs w:val="24"/>
              </w:rPr>
              <w:t>phương pháp xếp hạng nội bộ</w:t>
            </w:r>
            <w:r w:rsidRPr="00B63314">
              <w:rPr>
                <w:rFonts w:cs="Times New Roman"/>
                <w:sz w:val="24"/>
                <w:szCs w:val="24"/>
              </w:rPr>
              <w:t xml:space="preserve"> khi tính tài sản có rủi ro tín dụng</w:t>
            </w:r>
            <w:r w:rsidR="00FB08CF">
              <w:rPr>
                <w:rFonts w:cs="Times New Roman"/>
                <w:sz w:val="24"/>
                <w:szCs w:val="24"/>
              </w:rPr>
              <w:t xml:space="preserve"> khách hàng</w:t>
            </w:r>
          </w:p>
        </w:tc>
        <w:tc>
          <w:tcPr>
            <w:tcW w:w="7457" w:type="dxa"/>
          </w:tcPr>
          <w:p w14:paraId="2878A648" w14:textId="6F098A8C" w:rsidR="003171AF" w:rsidRPr="00B63314" w:rsidRDefault="003171AF">
            <w:pPr>
              <w:spacing w:before="120" w:after="120"/>
              <w:jc w:val="both"/>
              <w:rPr>
                <w:rFonts w:cs="Times New Roman"/>
                <w:sz w:val="24"/>
                <w:szCs w:val="24"/>
              </w:rPr>
            </w:pPr>
            <w:r w:rsidRPr="00B63314">
              <w:rPr>
                <w:rFonts w:cs="Times New Roman"/>
                <w:sz w:val="24"/>
                <w:szCs w:val="24"/>
              </w:rPr>
              <w:t xml:space="preserve">Chỉ áp dụng cho </w:t>
            </w:r>
            <w:r w:rsidR="005F578B" w:rsidRPr="00B63314">
              <w:rPr>
                <w:rFonts w:cs="Times New Roman"/>
                <w:sz w:val="24"/>
                <w:szCs w:val="24"/>
              </w:rPr>
              <w:t xml:space="preserve">danh mục tài sản </w:t>
            </w:r>
            <w:r w:rsidRPr="00B63314">
              <w:rPr>
                <w:rFonts w:cs="Times New Roman"/>
                <w:sz w:val="24"/>
                <w:szCs w:val="24"/>
              </w:rPr>
              <w:t>được</w:t>
            </w:r>
            <w:r w:rsidRPr="00B63314">
              <w:rPr>
                <w:rFonts w:cs="Times New Roman"/>
                <w:i/>
                <w:iCs/>
                <w:sz w:val="24"/>
                <w:szCs w:val="24"/>
              </w:rPr>
              <w:t xml:space="preserve"> </w:t>
            </w:r>
            <w:r w:rsidRPr="00B63314">
              <w:rPr>
                <w:rFonts w:cs="Times New Roman"/>
                <w:sz w:val="24"/>
                <w:szCs w:val="24"/>
              </w:rPr>
              <w:t xml:space="preserve">áp dụng </w:t>
            </w:r>
            <w:r w:rsidR="00904DDB">
              <w:rPr>
                <w:rFonts w:cs="Times New Roman"/>
                <w:sz w:val="24"/>
                <w:szCs w:val="24"/>
              </w:rPr>
              <w:t>phương pháp xếp hạng nội bộ</w:t>
            </w:r>
            <w:r w:rsidRPr="00B63314">
              <w:rPr>
                <w:rFonts w:cs="Times New Roman"/>
                <w:sz w:val="24"/>
                <w:szCs w:val="24"/>
              </w:rPr>
              <w:t xml:space="preserve"> khi tính tài sản có rủi ro tín dụng</w:t>
            </w:r>
            <w:r w:rsidR="00FB08CF">
              <w:rPr>
                <w:rFonts w:cs="Times New Roman"/>
                <w:sz w:val="24"/>
                <w:szCs w:val="24"/>
              </w:rPr>
              <w:t xml:space="preserve"> khách hàng</w:t>
            </w:r>
            <w:r w:rsidR="00FF2701">
              <w:rPr>
                <w:rFonts w:cs="Times New Roman"/>
                <w:sz w:val="24"/>
                <w:szCs w:val="24"/>
              </w:rPr>
              <w:t xml:space="preserve"> theo quy định tại khoản 2 Điều </w:t>
            </w:r>
            <w:r w:rsidR="005D174C">
              <w:rPr>
                <w:rFonts w:cs="Times New Roman"/>
                <w:sz w:val="24"/>
                <w:szCs w:val="24"/>
              </w:rPr>
              <w:t>62</w:t>
            </w:r>
            <w:r w:rsidR="00FF2701">
              <w:rPr>
                <w:rFonts w:cs="Times New Roman"/>
                <w:sz w:val="24"/>
                <w:szCs w:val="24"/>
              </w:rPr>
              <w:t xml:space="preserve"> Thông tư này.</w:t>
            </w:r>
          </w:p>
        </w:tc>
      </w:tr>
      <w:tr w:rsidR="003171AF" w:rsidRPr="009948F3" w14:paraId="3024027D" w14:textId="77777777" w:rsidTr="00EE693F">
        <w:trPr>
          <w:jc w:val="center"/>
        </w:trPr>
        <w:tc>
          <w:tcPr>
            <w:tcW w:w="978" w:type="dxa"/>
            <w:shd w:val="clear" w:color="auto" w:fill="auto"/>
            <w:vAlign w:val="center"/>
          </w:tcPr>
          <w:p w14:paraId="2688E93A" w14:textId="77777777" w:rsidR="003171AF" w:rsidRPr="00B63314" w:rsidRDefault="003171AF" w:rsidP="00CC7D8C">
            <w:pPr>
              <w:spacing w:before="120" w:after="120"/>
              <w:jc w:val="center"/>
              <w:rPr>
                <w:rFonts w:cs="Times New Roman"/>
                <w:sz w:val="24"/>
                <w:szCs w:val="24"/>
              </w:rPr>
            </w:pPr>
          </w:p>
        </w:tc>
        <w:tc>
          <w:tcPr>
            <w:tcW w:w="5410" w:type="dxa"/>
            <w:shd w:val="clear" w:color="auto" w:fill="auto"/>
            <w:vAlign w:val="center"/>
          </w:tcPr>
          <w:p w14:paraId="6D681DED" w14:textId="77777777" w:rsidR="003171AF" w:rsidRDefault="003171AF" w:rsidP="00CC7D8C">
            <w:pPr>
              <w:spacing w:before="120" w:after="120"/>
              <w:jc w:val="both"/>
              <w:rPr>
                <w:rFonts w:cs="Times New Roman"/>
                <w:b/>
                <w:bCs/>
                <w:sz w:val="24"/>
                <w:szCs w:val="24"/>
              </w:rPr>
            </w:pPr>
            <w:r w:rsidRPr="00B63314">
              <w:rPr>
                <w:rFonts w:cs="Times New Roman"/>
                <w:b/>
                <w:bCs/>
                <w:sz w:val="24"/>
                <w:szCs w:val="24"/>
              </w:rPr>
              <w:t xml:space="preserve">Các khoản giảm trừ khỏi Vốn cấp 2 </w:t>
            </w:r>
          </w:p>
          <w:p w14:paraId="4E50EE5B" w14:textId="2FF4CCFA" w:rsidR="003171AF" w:rsidRPr="00B63314" w:rsidRDefault="003171AF">
            <w:pPr>
              <w:spacing w:before="120" w:after="120"/>
              <w:jc w:val="both"/>
              <w:rPr>
                <w:rFonts w:cs="Times New Roman"/>
                <w:b/>
                <w:bCs/>
                <w:sz w:val="24"/>
                <w:szCs w:val="24"/>
              </w:rPr>
            </w:pPr>
            <w:r w:rsidRPr="00B63314">
              <w:rPr>
                <w:rFonts w:cs="Times New Roman"/>
                <w:b/>
                <w:bCs/>
                <w:sz w:val="24"/>
                <w:szCs w:val="24"/>
              </w:rPr>
              <w:t xml:space="preserve">(B2)= </w:t>
            </w:r>
            <w:r w:rsidRPr="00B63314">
              <w:rPr>
                <w:rFonts w:cs="Times New Roman"/>
                <w:b/>
                <w:bCs/>
                <w:sz w:val="24"/>
                <w:szCs w:val="24"/>
                <w:lang w:val="pt-BR"/>
              </w:rPr>
              <w:t>∑</w:t>
            </w:r>
            <w:r w:rsidR="00160DD8">
              <w:rPr>
                <w:rFonts w:cs="Times New Roman"/>
                <w:b/>
                <w:bCs/>
                <w:sz w:val="24"/>
                <w:szCs w:val="24"/>
                <w:lang w:val="pt-BR"/>
              </w:rPr>
              <w:t>(</w:t>
            </w:r>
            <w:r w:rsidR="00555CF2" w:rsidRPr="00B63314">
              <w:rPr>
                <w:rFonts w:cs="Times New Roman"/>
                <w:b/>
                <w:bCs/>
                <w:sz w:val="24"/>
                <w:szCs w:val="24"/>
                <w:lang w:val="pt-BR"/>
              </w:rPr>
              <w:t>2</w:t>
            </w:r>
            <w:r w:rsidR="00555CF2">
              <w:rPr>
                <w:rFonts w:cs="Times New Roman"/>
                <w:b/>
                <w:bCs/>
                <w:sz w:val="24"/>
                <w:szCs w:val="24"/>
                <w:lang w:val="pt-BR"/>
              </w:rPr>
              <w:t>6</w:t>
            </w:r>
            <w:r w:rsidR="00160DD8">
              <w:rPr>
                <w:rFonts w:cs="Times New Roman"/>
                <w:b/>
                <w:bCs/>
                <w:sz w:val="24"/>
                <w:szCs w:val="24"/>
                <w:lang w:val="pt-BR"/>
              </w:rPr>
              <w:t xml:space="preserve">) </w:t>
            </w:r>
            <w:r w:rsidRPr="00B63314">
              <w:rPr>
                <w:rFonts w:cs="Times New Roman"/>
                <w:b/>
                <w:bCs/>
                <w:sz w:val="24"/>
                <w:szCs w:val="24"/>
                <w:lang w:val="pt-BR"/>
              </w:rPr>
              <w:t>÷</w:t>
            </w:r>
            <w:r w:rsidR="00160DD8">
              <w:rPr>
                <w:rFonts w:cs="Times New Roman"/>
                <w:b/>
                <w:bCs/>
                <w:sz w:val="24"/>
                <w:szCs w:val="24"/>
                <w:lang w:val="pt-BR"/>
              </w:rPr>
              <w:t xml:space="preserve"> (</w:t>
            </w:r>
            <w:r w:rsidR="00F33BBC">
              <w:rPr>
                <w:rFonts w:cs="Times New Roman"/>
                <w:b/>
                <w:bCs/>
                <w:sz w:val="24"/>
                <w:szCs w:val="24"/>
                <w:lang w:val="pt-BR"/>
              </w:rPr>
              <w:t>29</w:t>
            </w:r>
            <w:r w:rsidR="00160DD8">
              <w:rPr>
                <w:rFonts w:cs="Times New Roman"/>
                <w:b/>
                <w:bCs/>
                <w:sz w:val="24"/>
                <w:szCs w:val="24"/>
                <w:lang w:val="pt-BR"/>
              </w:rPr>
              <w:t>)</w:t>
            </w:r>
          </w:p>
        </w:tc>
        <w:tc>
          <w:tcPr>
            <w:tcW w:w="7457" w:type="dxa"/>
          </w:tcPr>
          <w:p w14:paraId="11D4EA0F" w14:textId="77777777" w:rsidR="003171AF" w:rsidRPr="00B63314" w:rsidRDefault="003171AF" w:rsidP="00CC7D8C">
            <w:pPr>
              <w:spacing w:before="120" w:after="120"/>
              <w:jc w:val="both"/>
              <w:rPr>
                <w:rFonts w:cs="Times New Roman"/>
                <w:sz w:val="24"/>
                <w:szCs w:val="24"/>
              </w:rPr>
            </w:pPr>
          </w:p>
        </w:tc>
      </w:tr>
      <w:tr w:rsidR="003171AF" w:rsidRPr="009948F3" w14:paraId="6112E4F9" w14:textId="77777777" w:rsidTr="00EE693F">
        <w:trPr>
          <w:jc w:val="center"/>
        </w:trPr>
        <w:tc>
          <w:tcPr>
            <w:tcW w:w="978" w:type="dxa"/>
            <w:shd w:val="clear" w:color="auto" w:fill="auto"/>
            <w:vAlign w:val="center"/>
          </w:tcPr>
          <w:p w14:paraId="7080425C" w14:textId="5D6858CD" w:rsidR="003171AF" w:rsidRPr="00B63314" w:rsidRDefault="003171AF" w:rsidP="00F34BEE">
            <w:pPr>
              <w:spacing w:before="120" w:after="120"/>
              <w:jc w:val="center"/>
              <w:rPr>
                <w:rFonts w:cs="Times New Roman"/>
                <w:sz w:val="24"/>
                <w:szCs w:val="24"/>
              </w:rPr>
            </w:pPr>
            <w:r w:rsidRPr="00B63314">
              <w:rPr>
                <w:rFonts w:cs="Times New Roman"/>
                <w:sz w:val="24"/>
                <w:szCs w:val="24"/>
              </w:rPr>
              <w:t>(</w:t>
            </w:r>
            <w:r w:rsidR="00F33BBC" w:rsidRPr="00B63314">
              <w:rPr>
                <w:rFonts w:cs="Times New Roman"/>
                <w:sz w:val="24"/>
                <w:szCs w:val="24"/>
              </w:rPr>
              <w:t>2</w:t>
            </w:r>
            <w:r w:rsidR="00F33BBC">
              <w:rPr>
                <w:rFonts w:cs="Times New Roman"/>
                <w:sz w:val="24"/>
                <w:szCs w:val="24"/>
              </w:rPr>
              <w:t>6</w:t>
            </w:r>
            <w:r w:rsidRPr="00B63314">
              <w:rPr>
                <w:rFonts w:cs="Times New Roman"/>
                <w:sz w:val="24"/>
                <w:szCs w:val="24"/>
              </w:rPr>
              <w:t>)</w:t>
            </w:r>
          </w:p>
        </w:tc>
        <w:tc>
          <w:tcPr>
            <w:tcW w:w="5410" w:type="dxa"/>
            <w:shd w:val="clear" w:color="auto" w:fill="auto"/>
            <w:vAlign w:val="center"/>
          </w:tcPr>
          <w:p w14:paraId="037EB22B" w14:textId="4F675D2B" w:rsidR="003171AF" w:rsidRPr="00B63314" w:rsidRDefault="003171AF">
            <w:pPr>
              <w:spacing w:before="120" w:after="120"/>
              <w:jc w:val="both"/>
              <w:rPr>
                <w:rFonts w:cs="Times New Roman"/>
                <w:b/>
                <w:bCs/>
                <w:sz w:val="24"/>
                <w:szCs w:val="24"/>
              </w:rPr>
            </w:pPr>
            <w:r w:rsidRPr="00B63314">
              <w:rPr>
                <w:rFonts w:cs="Times New Roman"/>
                <w:iCs/>
                <w:sz w:val="24"/>
                <w:szCs w:val="24"/>
              </w:rPr>
              <w:t>Phần giá trị chênh lệch dương giữa khoản mục (</w:t>
            </w:r>
            <w:r w:rsidR="00112ABE" w:rsidRPr="00160DD8">
              <w:rPr>
                <w:rFonts w:cs="Times New Roman"/>
                <w:iCs/>
                <w:sz w:val="24"/>
                <w:szCs w:val="24"/>
              </w:rPr>
              <w:t>2</w:t>
            </w:r>
            <w:r w:rsidR="00112ABE">
              <w:rPr>
                <w:rFonts w:cs="Times New Roman"/>
                <w:iCs/>
                <w:sz w:val="24"/>
                <w:szCs w:val="24"/>
              </w:rPr>
              <w:t>4</w:t>
            </w:r>
            <w:r w:rsidRPr="00160DD8">
              <w:rPr>
                <w:rFonts w:cs="Times New Roman"/>
                <w:iCs/>
                <w:sz w:val="24"/>
                <w:szCs w:val="24"/>
              </w:rPr>
              <w:t>)</w:t>
            </w:r>
            <w:r w:rsidRPr="00B63314">
              <w:rPr>
                <w:rFonts w:cs="Times New Roman"/>
                <w:iCs/>
                <w:sz w:val="24"/>
                <w:szCs w:val="24"/>
              </w:rPr>
              <w:t xml:space="preserve"> và </w:t>
            </w:r>
            <w:r w:rsidRPr="00B63314">
              <w:rPr>
                <w:rFonts w:cs="Times New Roman"/>
                <w:sz w:val="24"/>
                <w:szCs w:val="24"/>
              </w:rPr>
              <w:t xml:space="preserve">1,25% “Tổng tài sản </w:t>
            </w:r>
            <w:r w:rsidR="00904DDB">
              <w:rPr>
                <w:rFonts w:cs="Times New Roman"/>
                <w:sz w:val="24"/>
                <w:szCs w:val="24"/>
              </w:rPr>
              <w:t>có</w:t>
            </w:r>
            <w:r w:rsidRPr="00B63314">
              <w:rPr>
                <w:rFonts w:cs="Times New Roman"/>
                <w:sz w:val="24"/>
                <w:szCs w:val="24"/>
              </w:rPr>
              <w:t xml:space="preserve"> rủi ro tín dụng</w:t>
            </w:r>
            <w:r w:rsidR="00112ABE">
              <w:rPr>
                <w:rFonts w:cs="Times New Roman"/>
                <w:sz w:val="24"/>
                <w:szCs w:val="24"/>
              </w:rPr>
              <w:t xml:space="preserve"> khách hàng</w:t>
            </w:r>
            <w:r w:rsidRPr="00B63314">
              <w:rPr>
                <w:rFonts w:cs="Times New Roman"/>
                <w:sz w:val="24"/>
                <w:szCs w:val="24"/>
              </w:rPr>
              <w:t>” của danh mục được áp dụng phương pháp tiêu chuẩn khi tính tài sản có rủi ro tín dụng</w:t>
            </w:r>
            <w:r w:rsidR="00555CF2">
              <w:rPr>
                <w:rFonts w:cs="Times New Roman"/>
                <w:sz w:val="24"/>
                <w:szCs w:val="24"/>
              </w:rPr>
              <w:t xml:space="preserve"> khách hàng</w:t>
            </w:r>
            <w:r w:rsidRPr="00B63314">
              <w:rPr>
                <w:rFonts w:cs="Times New Roman"/>
                <w:sz w:val="24"/>
                <w:szCs w:val="24"/>
              </w:rPr>
              <w:t xml:space="preserve"> quy định tại Thông tư này</w:t>
            </w:r>
          </w:p>
        </w:tc>
        <w:tc>
          <w:tcPr>
            <w:tcW w:w="7457" w:type="dxa"/>
          </w:tcPr>
          <w:p w14:paraId="2E85E0EE" w14:textId="58DA4720" w:rsidR="003171AF" w:rsidRPr="00B63314" w:rsidRDefault="003171AF">
            <w:pPr>
              <w:spacing w:before="120" w:after="120"/>
              <w:jc w:val="both"/>
              <w:rPr>
                <w:rFonts w:cs="Times New Roman"/>
                <w:sz w:val="24"/>
                <w:szCs w:val="24"/>
              </w:rPr>
            </w:pPr>
            <w:r w:rsidRPr="00B63314">
              <w:rPr>
                <w:rFonts w:cs="Times New Roman"/>
                <w:sz w:val="24"/>
                <w:szCs w:val="24"/>
              </w:rPr>
              <w:t>Chỉ áp dụng</w:t>
            </w:r>
            <w:r w:rsidR="005F578B" w:rsidRPr="00B63314">
              <w:rPr>
                <w:rFonts w:cs="Times New Roman"/>
                <w:sz w:val="24"/>
                <w:szCs w:val="24"/>
              </w:rPr>
              <w:t xml:space="preserve"> </w:t>
            </w:r>
            <w:r w:rsidRPr="00B63314">
              <w:rPr>
                <w:rFonts w:cs="Times New Roman"/>
                <w:sz w:val="24"/>
                <w:szCs w:val="24"/>
              </w:rPr>
              <w:t>cho danh mục tài sản được áp dụng phương pháp tiêu chuẩn khi tính tài sản có rủi ro tín dụng</w:t>
            </w:r>
            <w:r w:rsidR="00487EB3">
              <w:rPr>
                <w:rFonts w:cs="Times New Roman"/>
                <w:sz w:val="24"/>
                <w:szCs w:val="24"/>
              </w:rPr>
              <w:t xml:space="preserve"> khách hàng</w:t>
            </w:r>
          </w:p>
        </w:tc>
      </w:tr>
      <w:tr w:rsidR="003171AF" w:rsidRPr="009948F3" w14:paraId="1E633EE2" w14:textId="77777777" w:rsidTr="00EE693F">
        <w:trPr>
          <w:jc w:val="center"/>
        </w:trPr>
        <w:tc>
          <w:tcPr>
            <w:tcW w:w="978" w:type="dxa"/>
            <w:shd w:val="clear" w:color="auto" w:fill="auto"/>
            <w:vAlign w:val="center"/>
          </w:tcPr>
          <w:p w14:paraId="2CE70E7B" w14:textId="48E775B5" w:rsidR="003171AF" w:rsidRPr="00B63314" w:rsidRDefault="003171AF" w:rsidP="00F34BEE">
            <w:pPr>
              <w:spacing w:before="120" w:after="120"/>
              <w:jc w:val="center"/>
              <w:rPr>
                <w:rFonts w:cs="Times New Roman"/>
                <w:sz w:val="24"/>
                <w:szCs w:val="24"/>
              </w:rPr>
            </w:pPr>
            <w:r w:rsidRPr="00B63314">
              <w:rPr>
                <w:rFonts w:cs="Times New Roman"/>
                <w:sz w:val="24"/>
                <w:szCs w:val="24"/>
              </w:rPr>
              <w:t>(</w:t>
            </w:r>
            <w:r w:rsidR="00F33BBC" w:rsidRPr="00B63314">
              <w:rPr>
                <w:rFonts w:cs="Times New Roman"/>
                <w:sz w:val="24"/>
                <w:szCs w:val="24"/>
              </w:rPr>
              <w:t>2</w:t>
            </w:r>
            <w:r w:rsidR="00F33BBC">
              <w:rPr>
                <w:rFonts w:cs="Times New Roman"/>
                <w:sz w:val="24"/>
                <w:szCs w:val="24"/>
              </w:rPr>
              <w:t>7</w:t>
            </w:r>
            <w:r w:rsidRPr="00B63314">
              <w:rPr>
                <w:rFonts w:cs="Times New Roman"/>
                <w:sz w:val="24"/>
                <w:szCs w:val="24"/>
              </w:rPr>
              <w:t>)</w:t>
            </w:r>
          </w:p>
        </w:tc>
        <w:tc>
          <w:tcPr>
            <w:tcW w:w="5410" w:type="dxa"/>
            <w:shd w:val="clear" w:color="auto" w:fill="auto"/>
            <w:vAlign w:val="center"/>
          </w:tcPr>
          <w:p w14:paraId="37235F59" w14:textId="549DA9A7" w:rsidR="003171AF" w:rsidRPr="00B63314" w:rsidRDefault="003171AF">
            <w:pPr>
              <w:spacing w:before="120" w:after="120"/>
              <w:jc w:val="both"/>
              <w:rPr>
                <w:rFonts w:cs="Times New Roman"/>
                <w:b/>
                <w:bCs/>
                <w:iCs/>
                <w:sz w:val="24"/>
                <w:szCs w:val="24"/>
              </w:rPr>
            </w:pPr>
            <w:r w:rsidRPr="00B63314">
              <w:rPr>
                <w:rFonts w:cs="Times New Roman"/>
                <w:iCs/>
                <w:sz w:val="24"/>
                <w:szCs w:val="24"/>
              </w:rPr>
              <w:t>Phần chênh lệch dương giữa khoản mục (</w:t>
            </w:r>
            <w:r w:rsidR="00F33BBC" w:rsidRPr="00B63314">
              <w:rPr>
                <w:rFonts w:cs="Times New Roman"/>
                <w:iCs/>
                <w:sz w:val="24"/>
                <w:szCs w:val="24"/>
              </w:rPr>
              <w:t>2</w:t>
            </w:r>
            <w:r w:rsidR="00F33BBC">
              <w:rPr>
                <w:rFonts w:cs="Times New Roman"/>
                <w:iCs/>
                <w:sz w:val="24"/>
                <w:szCs w:val="24"/>
              </w:rPr>
              <w:t>5</w:t>
            </w:r>
            <w:r w:rsidRPr="00B63314">
              <w:rPr>
                <w:rFonts w:cs="Times New Roman"/>
                <w:iCs/>
                <w:sz w:val="24"/>
                <w:szCs w:val="24"/>
              </w:rPr>
              <w:t xml:space="preserve">) và 0,6% “Tổng tài sản </w:t>
            </w:r>
            <w:r w:rsidR="00904DDB">
              <w:rPr>
                <w:rFonts w:cs="Times New Roman"/>
                <w:iCs/>
                <w:sz w:val="24"/>
                <w:szCs w:val="24"/>
              </w:rPr>
              <w:t>có</w:t>
            </w:r>
            <w:r w:rsidRPr="00B63314">
              <w:rPr>
                <w:rFonts w:cs="Times New Roman"/>
                <w:iCs/>
                <w:sz w:val="24"/>
                <w:szCs w:val="24"/>
              </w:rPr>
              <w:t xml:space="preserve"> rủi ro tín dụng</w:t>
            </w:r>
            <w:r w:rsidR="00487EB3">
              <w:rPr>
                <w:rFonts w:cs="Times New Roman"/>
                <w:iCs/>
                <w:sz w:val="24"/>
                <w:szCs w:val="24"/>
              </w:rPr>
              <w:t xml:space="preserve"> khách hàng</w:t>
            </w:r>
            <w:r w:rsidRPr="00B63314">
              <w:rPr>
                <w:rFonts w:cs="Times New Roman"/>
                <w:iCs/>
                <w:sz w:val="24"/>
                <w:szCs w:val="24"/>
              </w:rPr>
              <w:t xml:space="preserve">” </w:t>
            </w:r>
            <w:r w:rsidRPr="00B63314">
              <w:rPr>
                <w:rFonts w:cs="Times New Roman"/>
                <w:sz w:val="24"/>
                <w:szCs w:val="24"/>
              </w:rPr>
              <w:t xml:space="preserve">của danh mục được áp dụng </w:t>
            </w:r>
            <w:r w:rsidR="00904DDB">
              <w:rPr>
                <w:rFonts w:cs="Times New Roman"/>
                <w:sz w:val="24"/>
                <w:szCs w:val="24"/>
              </w:rPr>
              <w:t>phương pháp xếp hạng nội bộ</w:t>
            </w:r>
            <w:r w:rsidRPr="00B63314">
              <w:rPr>
                <w:rFonts w:cs="Times New Roman"/>
                <w:sz w:val="24"/>
                <w:szCs w:val="24"/>
              </w:rPr>
              <w:t xml:space="preserve"> khi tính tài sản có rủi ro tín dụng </w:t>
            </w:r>
            <w:r w:rsidR="00555CF2">
              <w:rPr>
                <w:rFonts w:cs="Times New Roman"/>
                <w:sz w:val="24"/>
                <w:szCs w:val="24"/>
              </w:rPr>
              <w:t xml:space="preserve">khách hàng </w:t>
            </w:r>
            <w:r w:rsidRPr="00B63314">
              <w:rPr>
                <w:rFonts w:cs="Times New Roman"/>
                <w:sz w:val="24"/>
                <w:szCs w:val="24"/>
              </w:rPr>
              <w:t>quy định tại Thông tư này</w:t>
            </w:r>
          </w:p>
        </w:tc>
        <w:tc>
          <w:tcPr>
            <w:tcW w:w="7457" w:type="dxa"/>
          </w:tcPr>
          <w:p w14:paraId="630DAAED" w14:textId="05E4C48E" w:rsidR="003171AF" w:rsidRPr="00B63314" w:rsidRDefault="003171AF">
            <w:pPr>
              <w:spacing w:before="120" w:after="120"/>
              <w:jc w:val="both"/>
              <w:rPr>
                <w:rFonts w:cs="Times New Roman"/>
                <w:sz w:val="24"/>
                <w:szCs w:val="24"/>
              </w:rPr>
            </w:pPr>
            <w:r w:rsidRPr="00B63314">
              <w:rPr>
                <w:rFonts w:cs="Times New Roman"/>
                <w:sz w:val="24"/>
                <w:szCs w:val="24"/>
              </w:rPr>
              <w:t xml:space="preserve">Chỉ áp dụng cho danh mục tài sản được áp dụng </w:t>
            </w:r>
            <w:r w:rsidR="00904DDB">
              <w:rPr>
                <w:rFonts w:cs="Times New Roman"/>
                <w:sz w:val="24"/>
                <w:szCs w:val="24"/>
              </w:rPr>
              <w:t>phương pháp xếp hạng nội bộ</w:t>
            </w:r>
            <w:r w:rsidRPr="00B63314">
              <w:rPr>
                <w:rFonts w:cs="Times New Roman"/>
                <w:sz w:val="24"/>
                <w:szCs w:val="24"/>
              </w:rPr>
              <w:t xml:space="preserve"> khi tính tài sản có rủi ro tín dụng</w:t>
            </w:r>
            <w:r w:rsidR="00487EB3">
              <w:rPr>
                <w:rFonts w:cs="Times New Roman"/>
                <w:sz w:val="24"/>
                <w:szCs w:val="24"/>
              </w:rPr>
              <w:t xml:space="preserve"> khách hàng </w:t>
            </w:r>
            <w:r w:rsidR="00FF2701">
              <w:rPr>
                <w:rFonts w:cs="Times New Roman"/>
                <w:sz w:val="24"/>
                <w:szCs w:val="24"/>
              </w:rPr>
              <w:t xml:space="preserve">theo quy định tại khoản 2 Điều </w:t>
            </w:r>
            <w:r w:rsidR="005D174C">
              <w:rPr>
                <w:rFonts w:cs="Times New Roman"/>
                <w:sz w:val="24"/>
                <w:szCs w:val="24"/>
              </w:rPr>
              <w:t>62</w:t>
            </w:r>
            <w:r w:rsidR="00FF2701">
              <w:rPr>
                <w:rFonts w:cs="Times New Roman"/>
                <w:sz w:val="24"/>
                <w:szCs w:val="24"/>
              </w:rPr>
              <w:t xml:space="preserve"> Thông tư này.</w:t>
            </w:r>
          </w:p>
        </w:tc>
      </w:tr>
      <w:tr w:rsidR="003171AF" w:rsidRPr="009948F3" w14:paraId="78966507" w14:textId="77777777" w:rsidTr="00EE693F">
        <w:trPr>
          <w:jc w:val="center"/>
        </w:trPr>
        <w:tc>
          <w:tcPr>
            <w:tcW w:w="978" w:type="dxa"/>
            <w:shd w:val="clear" w:color="auto" w:fill="auto"/>
            <w:vAlign w:val="center"/>
          </w:tcPr>
          <w:p w14:paraId="60703672" w14:textId="34552C84" w:rsidR="003171AF" w:rsidRPr="00B63314" w:rsidRDefault="003171AF" w:rsidP="00F34BEE">
            <w:pPr>
              <w:spacing w:before="120" w:after="120"/>
              <w:jc w:val="center"/>
              <w:rPr>
                <w:rFonts w:cs="Times New Roman"/>
                <w:sz w:val="24"/>
                <w:szCs w:val="24"/>
              </w:rPr>
            </w:pPr>
            <w:r w:rsidRPr="00B63314">
              <w:rPr>
                <w:rFonts w:cs="Times New Roman"/>
                <w:sz w:val="24"/>
                <w:szCs w:val="24"/>
              </w:rPr>
              <w:lastRenderedPageBreak/>
              <w:t>(</w:t>
            </w:r>
            <w:r w:rsidR="00F33BBC" w:rsidRPr="00B63314">
              <w:rPr>
                <w:rFonts w:cs="Times New Roman"/>
                <w:sz w:val="24"/>
                <w:szCs w:val="24"/>
              </w:rPr>
              <w:t>2</w:t>
            </w:r>
            <w:r w:rsidR="00F33BBC">
              <w:rPr>
                <w:rFonts w:cs="Times New Roman"/>
                <w:sz w:val="24"/>
                <w:szCs w:val="24"/>
              </w:rPr>
              <w:t>8</w:t>
            </w:r>
            <w:r w:rsidRPr="00B63314">
              <w:rPr>
                <w:rFonts w:cs="Times New Roman"/>
                <w:sz w:val="24"/>
                <w:szCs w:val="24"/>
              </w:rPr>
              <w:t>)</w:t>
            </w:r>
          </w:p>
        </w:tc>
        <w:tc>
          <w:tcPr>
            <w:tcW w:w="5410" w:type="dxa"/>
            <w:shd w:val="clear" w:color="auto" w:fill="auto"/>
            <w:vAlign w:val="center"/>
          </w:tcPr>
          <w:p w14:paraId="4BE5A528" w14:textId="180B4028" w:rsidR="003171AF" w:rsidRPr="00B63314" w:rsidRDefault="003171AF">
            <w:pPr>
              <w:spacing w:before="120" w:after="120"/>
              <w:jc w:val="both"/>
              <w:rPr>
                <w:rFonts w:cs="Times New Roman"/>
                <w:iCs/>
                <w:sz w:val="24"/>
                <w:szCs w:val="24"/>
              </w:rPr>
            </w:pPr>
            <w:r w:rsidRPr="00B63314">
              <w:rPr>
                <w:rFonts w:cs="Times New Roman"/>
                <w:iCs/>
                <w:sz w:val="24"/>
                <w:szCs w:val="24"/>
              </w:rPr>
              <w:t>50% phần chênh lệch dương của tổng mức tổn thất dự kiến so với dự phòng</w:t>
            </w:r>
            <w:r w:rsidR="00160DD8">
              <w:rPr>
                <w:rFonts w:cs="Times New Roman"/>
                <w:iCs/>
                <w:sz w:val="24"/>
                <w:szCs w:val="24"/>
              </w:rPr>
              <w:t xml:space="preserve"> rủi ro</w:t>
            </w:r>
            <w:r w:rsidRPr="00B63314">
              <w:rPr>
                <w:rFonts w:cs="Times New Roman"/>
                <w:iCs/>
                <w:sz w:val="24"/>
                <w:szCs w:val="24"/>
              </w:rPr>
              <w:t xml:space="preserve"> của danh mục các tài sản</w:t>
            </w:r>
            <w:r w:rsidR="00F33BBC">
              <w:rPr>
                <w:rFonts w:cs="Times New Roman"/>
                <w:iCs/>
                <w:sz w:val="24"/>
                <w:szCs w:val="24"/>
              </w:rPr>
              <w:t xml:space="preserve"> được áp dụng</w:t>
            </w:r>
            <w:r w:rsidRPr="00B63314">
              <w:rPr>
                <w:rFonts w:cs="Times New Roman"/>
                <w:iCs/>
                <w:sz w:val="24"/>
                <w:szCs w:val="24"/>
              </w:rPr>
              <w:t xml:space="preserve"> </w:t>
            </w:r>
            <w:r w:rsidR="00904DDB" w:rsidRPr="00904DDB">
              <w:rPr>
                <w:rFonts w:cs="Times New Roman"/>
                <w:iCs/>
                <w:sz w:val="24"/>
                <w:szCs w:val="24"/>
              </w:rPr>
              <w:t>phương pháp xếp hạng tín dụng nội bộ</w:t>
            </w:r>
          </w:p>
        </w:tc>
        <w:tc>
          <w:tcPr>
            <w:tcW w:w="7457" w:type="dxa"/>
          </w:tcPr>
          <w:p w14:paraId="43FDBF08" w14:textId="02A90006" w:rsidR="005260E9" w:rsidRPr="005260E9" w:rsidRDefault="003171AF" w:rsidP="00CC7D8C">
            <w:pPr>
              <w:spacing w:before="120" w:after="120"/>
              <w:jc w:val="both"/>
              <w:rPr>
                <w:rFonts w:cs="Times New Roman"/>
                <w:sz w:val="24"/>
                <w:szCs w:val="24"/>
                <w:u w:val="single"/>
              </w:rPr>
            </w:pPr>
            <w:r w:rsidRPr="00B63314">
              <w:rPr>
                <w:rFonts w:cs="Times New Roman"/>
                <w:iCs/>
                <w:sz w:val="24"/>
                <w:szCs w:val="24"/>
              </w:rPr>
              <w:t xml:space="preserve">Chỉ áp dụng trong vòng 02 năm kể từ ngày được Ngân hàng Nhà nước chấp thuận áp dụng </w:t>
            </w:r>
            <w:r w:rsidR="00904DDB">
              <w:rPr>
                <w:rFonts w:cs="Times New Roman"/>
                <w:iCs/>
                <w:sz w:val="24"/>
                <w:szCs w:val="24"/>
              </w:rPr>
              <w:t>phương pháp xếp hạng nội bộ</w:t>
            </w:r>
            <w:r w:rsidR="00FF2701">
              <w:rPr>
                <w:rFonts w:cs="Times New Roman"/>
                <w:iCs/>
                <w:sz w:val="24"/>
                <w:szCs w:val="24"/>
              </w:rPr>
              <w:t xml:space="preserve"> </w:t>
            </w:r>
            <w:r w:rsidR="00FF2701">
              <w:rPr>
                <w:rFonts w:cs="Times New Roman"/>
                <w:sz w:val="24"/>
                <w:szCs w:val="24"/>
              </w:rPr>
              <w:t>theo quy định tại khoản 1 Điều 6</w:t>
            </w:r>
            <w:r w:rsidR="005D174C">
              <w:rPr>
                <w:rFonts w:cs="Times New Roman"/>
                <w:sz w:val="24"/>
                <w:szCs w:val="24"/>
              </w:rPr>
              <w:t>2</w:t>
            </w:r>
            <w:r w:rsidR="00FF2701">
              <w:rPr>
                <w:rFonts w:cs="Times New Roman"/>
                <w:sz w:val="24"/>
                <w:szCs w:val="24"/>
              </w:rPr>
              <w:t xml:space="preserve"> Thông tư này.</w:t>
            </w:r>
            <w:r w:rsidR="005260E9">
              <w:rPr>
                <w:rFonts w:cs="Times New Roman"/>
                <w:sz w:val="24"/>
                <w:szCs w:val="24"/>
              </w:rPr>
              <w:t xml:space="preserve"> </w:t>
            </w:r>
            <w:r w:rsidR="005260E9" w:rsidRPr="00160DD8">
              <w:rPr>
                <w:rFonts w:cs="Times New Roman"/>
                <w:sz w:val="24"/>
                <w:szCs w:val="24"/>
              </w:rPr>
              <w:t xml:space="preserve">Kể từ năm thứ </w:t>
            </w:r>
            <w:r w:rsidR="00A23B06">
              <w:rPr>
                <w:rFonts w:cs="Times New Roman"/>
                <w:sz w:val="24"/>
                <w:szCs w:val="24"/>
              </w:rPr>
              <w:t>ba</w:t>
            </w:r>
            <w:r w:rsidR="005260E9" w:rsidRPr="00160DD8">
              <w:rPr>
                <w:rFonts w:cs="Times New Roman"/>
                <w:sz w:val="24"/>
                <w:szCs w:val="24"/>
              </w:rPr>
              <w:t xml:space="preserve"> trở đi, không áp dụng khoản mục này.</w:t>
            </w:r>
          </w:p>
        </w:tc>
      </w:tr>
      <w:tr w:rsidR="003171AF" w:rsidRPr="009948F3" w14:paraId="13E97EC2" w14:textId="77777777" w:rsidTr="00EE693F">
        <w:trPr>
          <w:jc w:val="center"/>
        </w:trPr>
        <w:tc>
          <w:tcPr>
            <w:tcW w:w="978" w:type="dxa"/>
            <w:shd w:val="clear" w:color="auto" w:fill="auto"/>
            <w:vAlign w:val="center"/>
          </w:tcPr>
          <w:p w14:paraId="3CAEB68D" w14:textId="28729037" w:rsidR="003171AF" w:rsidRPr="00B63314" w:rsidRDefault="003171AF" w:rsidP="00F34BEE">
            <w:pPr>
              <w:spacing w:before="120" w:after="120"/>
              <w:jc w:val="center"/>
              <w:rPr>
                <w:rFonts w:cs="Times New Roman"/>
                <w:sz w:val="24"/>
                <w:szCs w:val="24"/>
              </w:rPr>
            </w:pPr>
            <w:r w:rsidRPr="00B63314">
              <w:rPr>
                <w:rFonts w:cs="Times New Roman"/>
                <w:sz w:val="24"/>
                <w:szCs w:val="24"/>
              </w:rPr>
              <w:t>(</w:t>
            </w:r>
            <w:r w:rsidR="00F33BBC">
              <w:rPr>
                <w:rFonts w:cs="Times New Roman"/>
                <w:sz w:val="24"/>
                <w:szCs w:val="24"/>
              </w:rPr>
              <w:t>29</w:t>
            </w:r>
            <w:r w:rsidRPr="00B63314">
              <w:rPr>
                <w:rFonts w:cs="Times New Roman"/>
                <w:sz w:val="24"/>
                <w:szCs w:val="24"/>
              </w:rPr>
              <w:t>)</w:t>
            </w:r>
          </w:p>
        </w:tc>
        <w:tc>
          <w:tcPr>
            <w:tcW w:w="5410" w:type="dxa"/>
            <w:shd w:val="clear" w:color="auto" w:fill="auto"/>
            <w:vAlign w:val="center"/>
          </w:tcPr>
          <w:p w14:paraId="159E268D"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Mua, đầu tư nợ thứ cấp của tổ chức tín dụng, chi nhánh ngân hàng nước ngoài khác phát hành đáp ứng đầy đủ các điều kiện để tính vào vốn cấp 2 của tổ chức tín dụng, chi nhánh ngân hàng nước ngoài đó (không bao gồm nợ thứ cấp nhận làm tài sản bảo đảm, chiết khấu, tái chiết khấu của khách hàng)</w:t>
            </w:r>
          </w:p>
        </w:tc>
        <w:tc>
          <w:tcPr>
            <w:tcW w:w="7457" w:type="dxa"/>
          </w:tcPr>
          <w:p w14:paraId="6F39B534"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Bắt đầu từ năm thứ năm trước khi đến hạn thanh toán, mỗi năm tại ngày đầu tiên của năm (tính theo ngày phát hành), giá trị khoản mua, đầu tư nợ thứ cấp của tổ chức tín dụng, chi nhánh ngân hàng nước ngoài khác phát hành đáp ứng đầy đủ các điều kiện để tính vào vốn cấp 2 của tổ chức tín dụng, chi nhánh ngân hàng nước ngoài đó sẽ được khấu trừ 20% của tổng giá mua.</w:t>
            </w:r>
          </w:p>
        </w:tc>
      </w:tr>
      <w:tr w:rsidR="003171AF" w:rsidRPr="009948F3" w14:paraId="0FD3E6D1" w14:textId="77777777" w:rsidTr="00EE693F">
        <w:trPr>
          <w:jc w:val="center"/>
        </w:trPr>
        <w:tc>
          <w:tcPr>
            <w:tcW w:w="978" w:type="dxa"/>
            <w:shd w:val="clear" w:color="auto" w:fill="auto"/>
            <w:vAlign w:val="center"/>
          </w:tcPr>
          <w:p w14:paraId="7FB09D7B" w14:textId="77777777" w:rsidR="003171AF" w:rsidRPr="00B63314" w:rsidRDefault="003171AF" w:rsidP="00CC7D8C">
            <w:pPr>
              <w:spacing w:before="120" w:after="120"/>
              <w:jc w:val="center"/>
              <w:rPr>
                <w:rFonts w:cs="Times New Roman"/>
                <w:sz w:val="24"/>
                <w:szCs w:val="24"/>
              </w:rPr>
            </w:pPr>
          </w:p>
        </w:tc>
        <w:tc>
          <w:tcPr>
            <w:tcW w:w="5410" w:type="dxa"/>
            <w:shd w:val="clear" w:color="auto" w:fill="auto"/>
            <w:vAlign w:val="center"/>
          </w:tcPr>
          <w:p w14:paraId="3596830D" w14:textId="77777777" w:rsidR="003171AF" w:rsidRPr="00B63314" w:rsidRDefault="003171AF" w:rsidP="00CC7D8C">
            <w:pPr>
              <w:spacing w:before="120" w:after="120"/>
              <w:jc w:val="both"/>
              <w:rPr>
                <w:rFonts w:cs="Times New Roman"/>
                <w:iCs/>
                <w:sz w:val="24"/>
                <w:szCs w:val="24"/>
              </w:rPr>
            </w:pPr>
            <w:r w:rsidRPr="00B63314">
              <w:rPr>
                <w:rFonts w:cs="Times New Roman"/>
                <w:b/>
                <w:bCs/>
                <w:sz w:val="24"/>
                <w:szCs w:val="24"/>
                <w:lang w:val="pt-BR"/>
              </w:rPr>
              <w:t>VỐN TỰ CÓ (C) = (A) + (B)</w:t>
            </w:r>
          </w:p>
        </w:tc>
        <w:tc>
          <w:tcPr>
            <w:tcW w:w="7457" w:type="dxa"/>
          </w:tcPr>
          <w:p w14:paraId="6A2E5DDD" w14:textId="77777777" w:rsidR="003171AF" w:rsidRPr="00B63314" w:rsidRDefault="003171AF" w:rsidP="00CC7D8C">
            <w:pPr>
              <w:spacing w:before="120" w:after="120"/>
              <w:jc w:val="both"/>
              <w:rPr>
                <w:rFonts w:cs="Times New Roman"/>
                <w:sz w:val="24"/>
                <w:szCs w:val="24"/>
              </w:rPr>
            </w:pPr>
          </w:p>
        </w:tc>
      </w:tr>
    </w:tbl>
    <w:p w14:paraId="4F4A993F" w14:textId="77777777" w:rsidR="003171AF" w:rsidRDefault="003171AF" w:rsidP="00CC7D8C">
      <w:pPr>
        <w:pStyle w:val="ListParagraph"/>
        <w:spacing w:before="120" w:after="120"/>
        <w:ind w:left="1080"/>
        <w:contextualSpacing w:val="0"/>
        <w:jc w:val="both"/>
        <w:rPr>
          <w:rFonts w:cs="Times New Roman"/>
          <w:b/>
          <w:bCs/>
          <w:sz w:val="26"/>
          <w:szCs w:val="28"/>
        </w:rPr>
      </w:pPr>
    </w:p>
    <w:p w14:paraId="7BE5DE00" w14:textId="77777777" w:rsidR="003171AF" w:rsidRPr="00AE2E9C" w:rsidRDefault="003171AF" w:rsidP="00CC7D8C">
      <w:pPr>
        <w:spacing w:before="120" w:after="120"/>
        <w:ind w:firstLine="709"/>
        <w:jc w:val="both"/>
        <w:rPr>
          <w:rFonts w:cs="Times New Roman"/>
          <w:b/>
          <w:bCs/>
          <w:sz w:val="26"/>
          <w:szCs w:val="28"/>
        </w:rPr>
      </w:pPr>
      <w:r w:rsidRPr="00AE2E9C">
        <w:rPr>
          <w:rFonts w:cs="Times New Roman"/>
          <w:b/>
          <w:bCs/>
          <w:sz w:val="26"/>
          <w:szCs w:val="28"/>
          <w:lang w:val="pt-BR"/>
        </w:rPr>
        <w:t>II. Vốn tự có hợp nhất</w:t>
      </w:r>
    </w:p>
    <w:p w14:paraId="3C829738" w14:textId="77777777" w:rsidR="003171AF" w:rsidRPr="00AE2E9C" w:rsidRDefault="003171AF" w:rsidP="00CC7D8C">
      <w:pPr>
        <w:spacing w:before="120" w:after="120"/>
        <w:ind w:firstLine="709"/>
        <w:jc w:val="both"/>
        <w:rPr>
          <w:rFonts w:cs="Times New Roman"/>
          <w:b/>
          <w:bCs/>
          <w:sz w:val="26"/>
          <w:szCs w:val="28"/>
        </w:rPr>
      </w:pPr>
      <w:r w:rsidRPr="00AE2E9C">
        <w:rPr>
          <w:rFonts w:cs="Times New Roman"/>
          <w:b/>
          <w:bCs/>
          <w:sz w:val="26"/>
          <w:szCs w:val="28"/>
          <w:lang w:val="pt-BR"/>
        </w:rPr>
        <w:t>1. Nguyên tắc chung:</w:t>
      </w:r>
    </w:p>
    <w:p w14:paraId="78F00480" w14:textId="77777777" w:rsidR="003171AF" w:rsidRPr="00B63314" w:rsidRDefault="003171AF" w:rsidP="00CC7D8C">
      <w:pPr>
        <w:spacing w:before="120" w:after="120"/>
        <w:ind w:firstLine="709"/>
        <w:jc w:val="both"/>
        <w:rPr>
          <w:rFonts w:cs="Times New Roman"/>
          <w:sz w:val="26"/>
          <w:szCs w:val="28"/>
        </w:rPr>
      </w:pPr>
      <w:r w:rsidRPr="00B63314">
        <w:rPr>
          <w:rFonts w:cs="Times New Roman"/>
          <w:sz w:val="26"/>
          <w:szCs w:val="28"/>
          <w:lang w:val="pt-BR"/>
        </w:rPr>
        <w:t xml:space="preserve">a. Vốn tự có hợp nhất được xác định theo các cấu phần quy định tại điểm 2 dưới đây, lấy từ </w:t>
      </w:r>
      <w:r>
        <w:rPr>
          <w:rFonts w:cs="Times New Roman"/>
          <w:sz w:val="26"/>
          <w:szCs w:val="28"/>
          <w:lang w:val="pt-BR"/>
        </w:rPr>
        <w:t>Báo cáo tình hình tài chính</w:t>
      </w:r>
      <w:r w:rsidRPr="00B63314">
        <w:rPr>
          <w:rFonts w:cs="Times New Roman"/>
          <w:sz w:val="26"/>
          <w:szCs w:val="28"/>
          <w:lang w:val="pt-BR"/>
        </w:rPr>
        <w:t>, trong đó không hợp nhất công ty con là doanh nghiệp hoạt động theo </w:t>
      </w:r>
      <w:bookmarkStart w:id="1" w:name="tvpllink_fjnnqwtkzh"/>
      <w:r w:rsidRPr="00A23B06">
        <w:rPr>
          <w:rFonts w:cs="Times New Roman"/>
          <w:sz w:val="26"/>
          <w:szCs w:val="28"/>
          <w:lang w:val="pt-BR"/>
        </w:rPr>
        <w:fldChar w:fldCharType="begin"/>
      </w:r>
      <w:r w:rsidRPr="00A23B06">
        <w:rPr>
          <w:rFonts w:cs="Times New Roman"/>
          <w:sz w:val="26"/>
          <w:szCs w:val="28"/>
          <w:lang w:val="pt-BR"/>
        </w:rPr>
        <w:instrText>HYPERLINK "https://thuvienphapluat.vn/van-ban/Bao-hiem/Luat-Kinh-doanh-bao-hiem-2022-465916.aspx" \t "_blank"</w:instrText>
      </w:r>
      <w:r w:rsidRPr="00A23B06">
        <w:rPr>
          <w:rFonts w:cs="Times New Roman"/>
          <w:sz w:val="26"/>
          <w:szCs w:val="28"/>
          <w:lang w:val="pt-BR"/>
        </w:rPr>
        <w:fldChar w:fldCharType="separate"/>
      </w:r>
      <w:r w:rsidRPr="00A23B06">
        <w:rPr>
          <w:rStyle w:val="Hyperlink"/>
          <w:rFonts w:cs="Times New Roman"/>
          <w:color w:val="auto"/>
          <w:sz w:val="26"/>
          <w:szCs w:val="28"/>
          <w:u w:val="none"/>
          <w:lang w:val="pt-BR"/>
        </w:rPr>
        <w:t>Luật kinh doanh bảo hiểm</w:t>
      </w:r>
      <w:r w:rsidRPr="00A23B06">
        <w:rPr>
          <w:rFonts w:cs="Times New Roman"/>
          <w:sz w:val="26"/>
          <w:szCs w:val="28"/>
        </w:rPr>
        <w:fldChar w:fldCharType="end"/>
      </w:r>
      <w:bookmarkEnd w:id="1"/>
      <w:r w:rsidRPr="00A23B06">
        <w:rPr>
          <w:rFonts w:cs="Times New Roman"/>
          <w:sz w:val="26"/>
          <w:szCs w:val="28"/>
          <w:lang w:val="pt-BR"/>
        </w:rPr>
        <w:t>.</w:t>
      </w:r>
    </w:p>
    <w:p w14:paraId="03B27D40" w14:textId="1C1839D6" w:rsidR="00EC2FCE" w:rsidRDefault="003171AF" w:rsidP="00EC2FCE">
      <w:pPr>
        <w:spacing w:before="120" w:after="120"/>
        <w:ind w:firstLine="709"/>
        <w:jc w:val="both"/>
        <w:rPr>
          <w:rFonts w:cs="Times New Roman"/>
          <w:sz w:val="26"/>
          <w:szCs w:val="28"/>
          <w:lang w:val="pt-BR"/>
        </w:rPr>
      </w:pPr>
      <w:r w:rsidRPr="00B63314">
        <w:rPr>
          <w:rFonts w:cs="Times New Roman"/>
          <w:sz w:val="26"/>
          <w:szCs w:val="28"/>
          <w:lang w:val="pt-BR"/>
        </w:rPr>
        <w:t xml:space="preserve">b. Trường hợp Báo cáo </w:t>
      </w:r>
      <w:r>
        <w:rPr>
          <w:rFonts w:cs="Times New Roman"/>
          <w:sz w:val="26"/>
          <w:szCs w:val="28"/>
          <w:lang w:val="pt-BR"/>
        </w:rPr>
        <w:t xml:space="preserve">tình hình </w:t>
      </w:r>
      <w:r w:rsidRPr="00B63314">
        <w:rPr>
          <w:rFonts w:cs="Times New Roman"/>
          <w:sz w:val="26"/>
          <w:szCs w:val="28"/>
          <w:lang w:val="pt-BR"/>
        </w:rPr>
        <w:t xml:space="preserve">tài chính hợp nhất nêu tại điểm a không có các khoản mục cụ thể để tính vốn </w:t>
      </w:r>
      <w:r>
        <w:rPr>
          <w:rFonts w:cs="Times New Roman"/>
          <w:sz w:val="26"/>
          <w:szCs w:val="28"/>
          <w:lang w:val="pt-BR"/>
        </w:rPr>
        <w:t xml:space="preserve">lõi cấp 1 </w:t>
      </w:r>
      <w:r w:rsidRPr="00EF5441">
        <w:rPr>
          <w:rFonts w:cs="Times New Roman"/>
          <w:sz w:val="26"/>
          <w:szCs w:val="28"/>
          <w:lang w:val="pt-BR"/>
        </w:rPr>
        <w:t>hợp nhất</w:t>
      </w:r>
      <w:r>
        <w:rPr>
          <w:rFonts w:cs="Times New Roman"/>
          <w:sz w:val="26"/>
          <w:szCs w:val="28"/>
          <w:lang w:val="pt-BR"/>
        </w:rPr>
        <w:t xml:space="preserve">, </w:t>
      </w:r>
      <w:r w:rsidR="007E55AB">
        <w:rPr>
          <w:rFonts w:cs="Times New Roman"/>
          <w:sz w:val="26"/>
          <w:szCs w:val="28"/>
          <w:lang w:val="pt-BR"/>
        </w:rPr>
        <w:t xml:space="preserve">vốn </w:t>
      </w:r>
      <w:r>
        <w:rPr>
          <w:rFonts w:cs="Times New Roman"/>
          <w:sz w:val="26"/>
          <w:szCs w:val="28"/>
          <w:lang w:val="pt-BR"/>
        </w:rPr>
        <w:t xml:space="preserve">bổ sung vốn </w:t>
      </w:r>
      <w:r w:rsidRPr="00B63314">
        <w:rPr>
          <w:rFonts w:cs="Times New Roman"/>
          <w:sz w:val="26"/>
          <w:szCs w:val="28"/>
          <w:lang w:val="pt-BR"/>
        </w:rPr>
        <w:t>cấp 1 hợp nhất và vốn cấp 2 hợp nhất, thì ngân hàng phải xây dựng số liệu thống kê từ các bảng cân đối</w:t>
      </w:r>
      <w:r>
        <w:rPr>
          <w:rFonts w:cs="Times New Roman"/>
          <w:sz w:val="26"/>
          <w:szCs w:val="28"/>
          <w:lang w:val="pt-BR"/>
        </w:rPr>
        <w:t xml:space="preserve"> tài khoản</w:t>
      </w:r>
      <w:r w:rsidRPr="00B63314">
        <w:rPr>
          <w:rFonts w:cs="Times New Roman"/>
          <w:sz w:val="26"/>
          <w:szCs w:val="28"/>
          <w:lang w:val="pt-BR"/>
        </w:rPr>
        <w:t xml:space="preserve"> kế toán riêng lẻ của các đối tượng hợp nhất để đảm bảo việc tính toán đầy đủ, chính xác các khoản mục </w:t>
      </w:r>
      <w:r>
        <w:rPr>
          <w:rFonts w:cs="Times New Roman"/>
          <w:sz w:val="26"/>
          <w:szCs w:val="28"/>
          <w:lang w:val="pt-BR"/>
        </w:rPr>
        <w:t>Vốn tự có</w:t>
      </w:r>
      <w:r w:rsidRPr="00B63314">
        <w:rPr>
          <w:rFonts w:cs="Times New Roman"/>
          <w:sz w:val="26"/>
          <w:szCs w:val="28"/>
          <w:lang w:val="pt-BR"/>
        </w:rPr>
        <w:t>.</w:t>
      </w:r>
    </w:p>
    <w:tbl>
      <w:tblPr>
        <w:tblW w:w="472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A0" w:firstRow="1" w:lastRow="0" w:firstColumn="1" w:lastColumn="0" w:noHBand="0" w:noVBand="0"/>
      </w:tblPr>
      <w:tblGrid>
        <w:gridCol w:w="992"/>
        <w:gridCol w:w="5186"/>
        <w:gridCol w:w="7598"/>
      </w:tblGrid>
      <w:tr w:rsidR="003171AF" w:rsidRPr="007F4317" w14:paraId="66C78334" w14:textId="77777777" w:rsidTr="00606FDA">
        <w:trPr>
          <w:tblHeader/>
          <w:jc w:val="center"/>
        </w:trPr>
        <w:tc>
          <w:tcPr>
            <w:tcW w:w="992" w:type="dxa"/>
            <w:shd w:val="clear" w:color="auto" w:fill="auto"/>
            <w:vAlign w:val="center"/>
          </w:tcPr>
          <w:p w14:paraId="2E00F98E" w14:textId="77777777" w:rsidR="003171AF" w:rsidRPr="00B63314" w:rsidRDefault="003171AF" w:rsidP="00CC7D8C">
            <w:pPr>
              <w:spacing w:before="120" w:after="120"/>
              <w:jc w:val="center"/>
              <w:rPr>
                <w:rFonts w:cs="Times New Roman"/>
                <w:b/>
                <w:bCs/>
                <w:sz w:val="24"/>
                <w:szCs w:val="24"/>
              </w:rPr>
            </w:pPr>
            <w:r w:rsidRPr="00B63314">
              <w:rPr>
                <w:rFonts w:cs="Times New Roman"/>
                <w:b/>
                <w:bCs/>
                <w:sz w:val="24"/>
                <w:szCs w:val="24"/>
              </w:rPr>
              <w:t>Mục</w:t>
            </w:r>
          </w:p>
        </w:tc>
        <w:tc>
          <w:tcPr>
            <w:tcW w:w="5186" w:type="dxa"/>
            <w:shd w:val="clear" w:color="auto" w:fill="auto"/>
            <w:noWrap/>
            <w:vAlign w:val="bottom"/>
          </w:tcPr>
          <w:p w14:paraId="76729539" w14:textId="77777777" w:rsidR="003171AF" w:rsidRPr="00B63314" w:rsidRDefault="003171AF" w:rsidP="00CC7D8C">
            <w:pPr>
              <w:spacing w:before="120" w:after="120"/>
              <w:jc w:val="center"/>
              <w:rPr>
                <w:rFonts w:cs="Times New Roman"/>
                <w:b/>
                <w:bCs/>
                <w:sz w:val="24"/>
                <w:szCs w:val="24"/>
              </w:rPr>
            </w:pPr>
            <w:r w:rsidRPr="00B63314">
              <w:rPr>
                <w:rFonts w:cs="Times New Roman"/>
                <w:b/>
                <w:bCs/>
                <w:sz w:val="24"/>
                <w:szCs w:val="24"/>
              </w:rPr>
              <w:t>Cấu phần</w:t>
            </w:r>
          </w:p>
        </w:tc>
        <w:tc>
          <w:tcPr>
            <w:tcW w:w="7598" w:type="dxa"/>
          </w:tcPr>
          <w:p w14:paraId="24D3A757" w14:textId="77777777" w:rsidR="003171AF" w:rsidRPr="00B63314" w:rsidRDefault="003171AF" w:rsidP="00CC7D8C">
            <w:pPr>
              <w:spacing w:before="120" w:after="120"/>
              <w:jc w:val="center"/>
              <w:rPr>
                <w:rFonts w:cs="Times New Roman"/>
                <w:b/>
                <w:bCs/>
                <w:sz w:val="24"/>
                <w:szCs w:val="24"/>
              </w:rPr>
            </w:pPr>
            <w:r w:rsidRPr="00B63314">
              <w:rPr>
                <w:rFonts w:cs="Times New Roman"/>
                <w:b/>
                <w:bCs/>
                <w:sz w:val="24"/>
                <w:szCs w:val="24"/>
              </w:rPr>
              <w:t>Cách xác định</w:t>
            </w:r>
          </w:p>
        </w:tc>
      </w:tr>
      <w:tr w:rsidR="003171AF" w:rsidRPr="007F4317" w14:paraId="2891466C" w14:textId="77777777" w:rsidTr="00606FDA">
        <w:trPr>
          <w:jc w:val="center"/>
        </w:trPr>
        <w:tc>
          <w:tcPr>
            <w:tcW w:w="992" w:type="dxa"/>
            <w:shd w:val="clear" w:color="auto" w:fill="auto"/>
            <w:noWrap/>
            <w:vAlign w:val="center"/>
          </w:tcPr>
          <w:p w14:paraId="0F01507D" w14:textId="77777777" w:rsidR="003171AF" w:rsidRPr="00B63314" w:rsidRDefault="003171AF" w:rsidP="00CC7D8C">
            <w:pPr>
              <w:spacing w:before="120" w:after="120"/>
              <w:jc w:val="center"/>
              <w:rPr>
                <w:rFonts w:cs="Times New Roman"/>
                <w:sz w:val="24"/>
                <w:szCs w:val="24"/>
              </w:rPr>
            </w:pPr>
          </w:p>
        </w:tc>
        <w:tc>
          <w:tcPr>
            <w:tcW w:w="5186" w:type="dxa"/>
            <w:shd w:val="clear" w:color="auto" w:fill="auto"/>
            <w:vAlign w:val="center"/>
          </w:tcPr>
          <w:p w14:paraId="407982C8" w14:textId="77777777" w:rsidR="003171AF" w:rsidRPr="00B63314" w:rsidRDefault="003171AF" w:rsidP="00CC7D8C">
            <w:pPr>
              <w:spacing w:before="120" w:after="120"/>
              <w:jc w:val="both"/>
              <w:rPr>
                <w:rFonts w:cs="Times New Roman"/>
                <w:b/>
                <w:bCs/>
                <w:i/>
                <w:iCs/>
                <w:sz w:val="24"/>
                <w:szCs w:val="24"/>
                <w:lang w:val="pt-BR"/>
              </w:rPr>
            </w:pPr>
            <w:r w:rsidRPr="00B63314">
              <w:rPr>
                <w:rFonts w:cs="Times New Roman"/>
                <w:b/>
                <w:bCs/>
                <w:i/>
                <w:iCs/>
                <w:sz w:val="24"/>
                <w:szCs w:val="24"/>
                <w:lang w:val="pt-BR"/>
              </w:rPr>
              <w:t xml:space="preserve">VỐN CẤP 1 HỢP NHẤT (A) = A1 + A2 </w:t>
            </w:r>
          </w:p>
        </w:tc>
        <w:tc>
          <w:tcPr>
            <w:tcW w:w="7598" w:type="dxa"/>
          </w:tcPr>
          <w:p w14:paraId="109B156A" w14:textId="77777777" w:rsidR="003171AF" w:rsidRPr="00B63314" w:rsidRDefault="003171AF" w:rsidP="00CC7D8C">
            <w:pPr>
              <w:spacing w:before="120" w:after="120"/>
              <w:jc w:val="both"/>
              <w:rPr>
                <w:rFonts w:cs="Times New Roman"/>
                <w:sz w:val="24"/>
                <w:szCs w:val="24"/>
                <w:lang w:val="pt-BR"/>
              </w:rPr>
            </w:pPr>
          </w:p>
        </w:tc>
      </w:tr>
      <w:tr w:rsidR="003171AF" w:rsidRPr="007F4317" w14:paraId="7EEEE471" w14:textId="77777777" w:rsidTr="00606FDA">
        <w:trPr>
          <w:jc w:val="center"/>
        </w:trPr>
        <w:tc>
          <w:tcPr>
            <w:tcW w:w="992" w:type="dxa"/>
            <w:shd w:val="clear" w:color="auto" w:fill="auto"/>
            <w:noWrap/>
            <w:vAlign w:val="center"/>
          </w:tcPr>
          <w:p w14:paraId="68475893" w14:textId="77777777" w:rsidR="003171AF" w:rsidRPr="00B63314" w:rsidRDefault="003171AF" w:rsidP="00CC7D8C">
            <w:pPr>
              <w:spacing w:before="120" w:after="120"/>
              <w:jc w:val="center"/>
              <w:rPr>
                <w:rFonts w:cs="Times New Roman"/>
                <w:sz w:val="24"/>
                <w:szCs w:val="24"/>
                <w:lang w:val="pt-BR"/>
              </w:rPr>
            </w:pPr>
          </w:p>
        </w:tc>
        <w:tc>
          <w:tcPr>
            <w:tcW w:w="5186" w:type="dxa"/>
            <w:shd w:val="clear" w:color="auto" w:fill="auto"/>
            <w:vAlign w:val="center"/>
          </w:tcPr>
          <w:p w14:paraId="141DFA36" w14:textId="77777777" w:rsidR="003171AF" w:rsidRPr="00B63314" w:rsidRDefault="003171AF" w:rsidP="00CC7D8C">
            <w:pPr>
              <w:spacing w:before="120" w:after="120"/>
              <w:jc w:val="both"/>
              <w:rPr>
                <w:rFonts w:cs="Times New Roman"/>
                <w:i/>
                <w:iCs/>
                <w:sz w:val="24"/>
                <w:szCs w:val="24"/>
                <w:lang w:val="pt-BR"/>
              </w:rPr>
            </w:pPr>
            <w:r w:rsidRPr="00B63314">
              <w:rPr>
                <w:rFonts w:cs="Times New Roman"/>
                <w:b/>
                <w:bCs/>
                <w:i/>
                <w:iCs/>
                <w:sz w:val="24"/>
                <w:szCs w:val="24"/>
                <w:lang w:val="pt-BR"/>
              </w:rPr>
              <w:t>Vốn lõi cấp 1 hợp nhất (A1) = A11 – A12</w:t>
            </w:r>
          </w:p>
        </w:tc>
        <w:tc>
          <w:tcPr>
            <w:tcW w:w="7598" w:type="dxa"/>
          </w:tcPr>
          <w:p w14:paraId="5D14B84A" w14:textId="77777777" w:rsidR="003171AF" w:rsidRPr="00B63314" w:rsidRDefault="003171AF" w:rsidP="00CC7D8C">
            <w:pPr>
              <w:spacing w:before="120" w:after="120"/>
              <w:jc w:val="both"/>
              <w:rPr>
                <w:rFonts w:cs="Times New Roman"/>
                <w:b/>
                <w:bCs/>
                <w:sz w:val="24"/>
                <w:szCs w:val="24"/>
                <w:lang w:val="pt-BR"/>
              </w:rPr>
            </w:pPr>
          </w:p>
        </w:tc>
      </w:tr>
      <w:tr w:rsidR="003171AF" w:rsidRPr="007F4317" w14:paraId="465E57A8" w14:textId="77777777" w:rsidTr="00606FDA">
        <w:trPr>
          <w:jc w:val="center"/>
        </w:trPr>
        <w:tc>
          <w:tcPr>
            <w:tcW w:w="992" w:type="dxa"/>
            <w:shd w:val="clear" w:color="auto" w:fill="auto"/>
            <w:noWrap/>
            <w:vAlign w:val="center"/>
          </w:tcPr>
          <w:p w14:paraId="2DBEC308" w14:textId="77777777" w:rsidR="003171AF" w:rsidRPr="00B63314" w:rsidRDefault="003171AF" w:rsidP="00CC7D8C">
            <w:pPr>
              <w:spacing w:before="120" w:after="120"/>
              <w:jc w:val="center"/>
              <w:rPr>
                <w:rFonts w:cs="Times New Roman"/>
                <w:sz w:val="24"/>
                <w:szCs w:val="24"/>
                <w:lang w:val="pt-BR"/>
              </w:rPr>
            </w:pPr>
          </w:p>
        </w:tc>
        <w:tc>
          <w:tcPr>
            <w:tcW w:w="5186" w:type="dxa"/>
            <w:shd w:val="clear" w:color="auto" w:fill="auto"/>
            <w:vAlign w:val="center"/>
          </w:tcPr>
          <w:p w14:paraId="0A4CC6AD" w14:textId="77777777" w:rsidR="003171AF" w:rsidRPr="00B63314" w:rsidRDefault="003171AF" w:rsidP="00CC7D8C">
            <w:pPr>
              <w:spacing w:before="120" w:after="120"/>
              <w:jc w:val="both"/>
              <w:rPr>
                <w:rFonts w:cs="Times New Roman"/>
                <w:b/>
                <w:bCs/>
                <w:i/>
                <w:iCs/>
                <w:sz w:val="24"/>
                <w:szCs w:val="24"/>
                <w:lang w:val="pt-BR"/>
              </w:rPr>
            </w:pPr>
            <w:r w:rsidRPr="00B63314">
              <w:rPr>
                <w:rFonts w:cs="Times New Roman"/>
                <w:b/>
                <w:bCs/>
                <w:i/>
                <w:iCs/>
                <w:sz w:val="24"/>
                <w:szCs w:val="24"/>
                <w:lang w:val="pt-BR"/>
              </w:rPr>
              <w:t xml:space="preserve">Vốn lõi cấp 1 hợp nhất chưa giảm trừ </w:t>
            </w:r>
          </w:p>
          <w:p w14:paraId="3E6E9A3D" w14:textId="537691C2" w:rsidR="003171AF" w:rsidRPr="00B63314" w:rsidRDefault="003171AF" w:rsidP="00CC7D8C">
            <w:pPr>
              <w:spacing w:before="120" w:after="120"/>
              <w:jc w:val="both"/>
              <w:rPr>
                <w:rFonts w:cs="Times New Roman"/>
                <w:b/>
                <w:bCs/>
                <w:i/>
                <w:iCs/>
                <w:sz w:val="24"/>
                <w:szCs w:val="24"/>
                <w:lang w:val="pt-BR"/>
              </w:rPr>
            </w:pPr>
            <w:r w:rsidRPr="00B63314">
              <w:rPr>
                <w:rFonts w:cs="Times New Roman"/>
                <w:b/>
                <w:bCs/>
                <w:i/>
                <w:iCs/>
                <w:sz w:val="24"/>
                <w:szCs w:val="24"/>
                <w:lang w:val="pt-BR"/>
              </w:rPr>
              <w:t>(A11)=</w:t>
            </w:r>
            <w:r w:rsidRPr="00B63314">
              <w:rPr>
                <w:rFonts w:cs="Times New Roman"/>
                <w:b/>
                <w:bCs/>
                <w:color w:val="000000"/>
                <w:sz w:val="24"/>
                <w:szCs w:val="24"/>
                <w:shd w:val="clear" w:color="auto" w:fill="FFFFFF"/>
                <w:lang w:val="pt-BR"/>
              </w:rPr>
              <w:t xml:space="preserve"> </w:t>
            </w:r>
            <w:r w:rsidRPr="00B63314">
              <w:rPr>
                <w:rFonts w:cs="Times New Roman"/>
                <w:b/>
                <w:bCs/>
                <w:i/>
                <w:iCs/>
                <w:sz w:val="24"/>
                <w:szCs w:val="24"/>
                <w:lang w:val="pt-BR"/>
              </w:rPr>
              <w:t>∑</w:t>
            </w:r>
            <w:r w:rsidR="00160DD8">
              <w:rPr>
                <w:rFonts w:cs="Times New Roman"/>
                <w:b/>
                <w:bCs/>
                <w:i/>
                <w:iCs/>
                <w:sz w:val="24"/>
                <w:szCs w:val="24"/>
                <w:lang w:val="pt-BR"/>
              </w:rPr>
              <w:t>(</w:t>
            </w:r>
            <w:r w:rsidRPr="00B63314">
              <w:rPr>
                <w:rFonts w:cs="Times New Roman"/>
                <w:b/>
                <w:bCs/>
                <w:i/>
                <w:iCs/>
                <w:sz w:val="24"/>
                <w:szCs w:val="24"/>
                <w:lang w:val="pt-BR"/>
              </w:rPr>
              <w:t>1</w:t>
            </w:r>
            <w:r w:rsidR="00160DD8">
              <w:rPr>
                <w:rFonts w:cs="Times New Roman"/>
                <w:b/>
                <w:bCs/>
                <w:i/>
                <w:iCs/>
                <w:sz w:val="24"/>
                <w:szCs w:val="24"/>
                <w:lang w:val="pt-BR"/>
              </w:rPr>
              <w:t>)</w:t>
            </w:r>
            <w:r w:rsidRPr="00B63314">
              <w:rPr>
                <w:rFonts w:cs="Times New Roman"/>
                <w:b/>
                <w:bCs/>
                <w:i/>
                <w:iCs/>
                <w:sz w:val="24"/>
                <w:szCs w:val="24"/>
                <w:lang w:val="pt-BR"/>
              </w:rPr>
              <w:t xml:space="preserve"> ÷ </w:t>
            </w:r>
            <w:r w:rsidR="00160DD8">
              <w:rPr>
                <w:rFonts w:cs="Times New Roman"/>
                <w:b/>
                <w:bCs/>
                <w:i/>
                <w:iCs/>
                <w:sz w:val="24"/>
                <w:szCs w:val="24"/>
                <w:lang w:val="pt-BR"/>
              </w:rPr>
              <w:t>(</w:t>
            </w:r>
            <w:r w:rsidRPr="00B63314">
              <w:rPr>
                <w:rFonts w:cs="Times New Roman"/>
                <w:b/>
                <w:bCs/>
                <w:i/>
                <w:iCs/>
                <w:sz w:val="24"/>
                <w:szCs w:val="24"/>
                <w:lang w:val="pt-BR"/>
              </w:rPr>
              <w:t>10</w:t>
            </w:r>
            <w:r w:rsidR="00160DD8">
              <w:rPr>
                <w:rFonts w:cs="Times New Roman"/>
                <w:b/>
                <w:bCs/>
                <w:i/>
                <w:iCs/>
                <w:sz w:val="24"/>
                <w:szCs w:val="24"/>
                <w:lang w:val="pt-BR"/>
              </w:rPr>
              <w:t>)</w:t>
            </w:r>
          </w:p>
        </w:tc>
        <w:tc>
          <w:tcPr>
            <w:tcW w:w="7598" w:type="dxa"/>
          </w:tcPr>
          <w:p w14:paraId="341FE343" w14:textId="77777777" w:rsidR="003171AF" w:rsidRPr="00B63314" w:rsidRDefault="003171AF" w:rsidP="00CC7D8C">
            <w:pPr>
              <w:spacing w:before="120" w:after="120"/>
              <w:jc w:val="both"/>
              <w:rPr>
                <w:rFonts w:cs="Times New Roman"/>
                <w:b/>
                <w:bCs/>
                <w:sz w:val="24"/>
                <w:szCs w:val="24"/>
                <w:lang w:val="pt-BR"/>
              </w:rPr>
            </w:pPr>
          </w:p>
        </w:tc>
      </w:tr>
      <w:tr w:rsidR="003171AF" w:rsidRPr="007F4317" w14:paraId="2A2CBDDC" w14:textId="77777777" w:rsidTr="00606FDA">
        <w:trPr>
          <w:jc w:val="center"/>
        </w:trPr>
        <w:tc>
          <w:tcPr>
            <w:tcW w:w="992" w:type="dxa"/>
            <w:shd w:val="clear" w:color="auto" w:fill="auto"/>
            <w:vAlign w:val="center"/>
          </w:tcPr>
          <w:p w14:paraId="2C55AB76"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w:t>
            </w:r>
          </w:p>
        </w:tc>
        <w:tc>
          <w:tcPr>
            <w:tcW w:w="5186" w:type="dxa"/>
            <w:shd w:val="clear" w:color="auto" w:fill="auto"/>
            <w:vAlign w:val="center"/>
          </w:tcPr>
          <w:p w14:paraId="6D9FA921"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Vốn điều lệ (vốn đã góp)</w:t>
            </w:r>
          </w:p>
        </w:tc>
        <w:tc>
          <w:tcPr>
            <w:tcW w:w="7598" w:type="dxa"/>
          </w:tcPr>
          <w:p w14:paraId="212839F9"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Lấy số liệu tại khoản mục</w:t>
            </w:r>
            <w:r w:rsidRPr="00B63314">
              <w:rPr>
                <w:rFonts w:cs="Times New Roman"/>
                <w:b/>
                <w:bCs/>
                <w:sz w:val="24"/>
                <w:szCs w:val="24"/>
              </w:rPr>
              <w:t> Vốn điều lệ</w:t>
            </w:r>
            <w:r w:rsidRPr="00B63314">
              <w:rPr>
                <w:rFonts w:cs="Times New Roman"/>
                <w:sz w:val="24"/>
                <w:szCs w:val="24"/>
              </w:rPr>
              <w:t> trên Báo cáo tình hình tài chính hợp nhất được lập theo số liệu Bảng cân đối tài khoản kế toán của các đối tượng hợp nhất.</w:t>
            </w:r>
          </w:p>
          <w:p w14:paraId="1F44B6FD"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Đối với ngân hàng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3171AF" w:rsidRPr="007F4317" w14:paraId="4ED9E2C6" w14:textId="77777777" w:rsidTr="00606FDA">
        <w:trPr>
          <w:jc w:val="center"/>
        </w:trPr>
        <w:tc>
          <w:tcPr>
            <w:tcW w:w="992" w:type="dxa"/>
            <w:shd w:val="clear" w:color="auto" w:fill="auto"/>
            <w:vAlign w:val="center"/>
          </w:tcPr>
          <w:p w14:paraId="117C725F"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(2)</w:t>
            </w:r>
          </w:p>
        </w:tc>
        <w:tc>
          <w:tcPr>
            <w:tcW w:w="5186" w:type="dxa"/>
            <w:shd w:val="clear" w:color="auto" w:fill="auto"/>
            <w:vAlign w:val="center"/>
          </w:tcPr>
          <w:p w14:paraId="6E3C6AFE"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Quỹ dự trữ bổ sung vốn điều lệ</w:t>
            </w:r>
          </w:p>
        </w:tc>
        <w:tc>
          <w:tcPr>
            <w:tcW w:w="7598" w:type="dxa"/>
          </w:tcPr>
          <w:p w14:paraId="1EE1933A"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Lấy số liệu Quỹ dự trữ bổ sung vốn điều lệ trong khoản mục </w:t>
            </w:r>
            <w:r w:rsidRPr="00B63314">
              <w:rPr>
                <w:rFonts w:cs="Times New Roman"/>
                <w:b/>
                <w:bCs/>
                <w:sz w:val="24"/>
                <w:szCs w:val="24"/>
              </w:rPr>
              <w:t>Quỹ của tổ chức tín dụng</w:t>
            </w:r>
            <w:r w:rsidRPr="00B63314">
              <w:rPr>
                <w:rFonts w:cs="Times New Roman"/>
                <w:sz w:val="24"/>
                <w:szCs w:val="24"/>
              </w:rPr>
              <w:t> trên Báo cáo tình hình tài chính hợp nhất được lập theo số liệu Bảng cân đối tài khoản kế toán của các đối tượng hợp nhất.</w:t>
            </w:r>
          </w:p>
        </w:tc>
      </w:tr>
      <w:tr w:rsidR="003171AF" w:rsidRPr="007F4317" w14:paraId="7F4D9C61" w14:textId="77777777" w:rsidTr="00606FDA">
        <w:trPr>
          <w:jc w:val="center"/>
        </w:trPr>
        <w:tc>
          <w:tcPr>
            <w:tcW w:w="992" w:type="dxa"/>
            <w:shd w:val="clear" w:color="auto" w:fill="auto"/>
            <w:vAlign w:val="center"/>
          </w:tcPr>
          <w:p w14:paraId="17DDA371"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(3)</w:t>
            </w:r>
          </w:p>
        </w:tc>
        <w:tc>
          <w:tcPr>
            <w:tcW w:w="5186" w:type="dxa"/>
            <w:shd w:val="clear" w:color="auto" w:fill="auto"/>
            <w:vAlign w:val="center"/>
          </w:tcPr>
          <w:p w14:paraId="2CD3F3E7"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Quỹ đầu tư phát triển </w:t>
            </w:r>
          </w:p>
        </w:tc>
        <w:tc>
          <w:tcPr>
            <w:tcW w:w="7598" w:type="dxa"/>
          </w:tcPr>
          <w:p w14:paraId="5A40B431"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Lấy số liệu Quỹ đầu tư phát triển trong khoản mục</w:t>
            </w:r>
            <w:r w:rsidRPr="00B63314">
              <w:rPr>
                <w:rFonts w:cs="Times New Roman"/>
                <w:b/>
                <w:bCs/>
                <w:sz w:val="24"/>
                <w:szCs w:val="24"/>
              </w:rPr>
              <w:t> Quỹ của tổ chức tín dụng</w:t>
            </w:r>
            <w:r w:rsidRPr="00B63314">
              <w:rPr>
                <w:rFonts w:cs="Times New Roman"/>
                <w:sz w:val="24"/>
                <w:szCs w:val="24"/>
              </w:rPr>
              <w:t> trên Báo cáo tình hình tài chính hợp nhất được lập theo số liệu Bảng cân đối tài khoản kế toán của các đối tượng hợp nhất.</w:t>
            </w:r>
          </w:p>
        </w:tc>
      </w:tr>
      <w:tr w:rsidR="003171AF" w:rsidRPr="007F4317" w14:paraId="00EC2CCD" w14:textId="77777777" w:rsidTr="00606FDA">
        <w:trPr>
          <w:jc w:val="center"/>
        </w:trPr>
        <w:tc>
          <w:tcPr>
            <w:tcW w:w="992" w:type="dxa"/>
            <w:shd w:val="clear" w:color="auto" w:fill="auto"/>
            <w:vAlign w:val="center"/>
          </w:tcPr>
          <w:p w14:paraId="5F753A9C"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(4)</w:t>
            </w:r>
          </w:p>
        </w:tc>
        <w:tc>
          <w:tcPr>
            <w:tcW w:w="5186" w:type="dxa"/>
            <w:shd w:val="clear" w:color="auto" w:fill="auto"/>
            <w:vAlign w:val="center"/>
          </w:tcPr>
          <w:p w14:paraId="2F5658CD"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Quỹ dự phòng tài chính</w:t>
            </w:r>
          </w:p>
        </w:tc>
        <w:tc>
          <w:tcPr>
            <w:tcW w:w="7598" w:type="dxa"/>
          </w:tcPr>
          <w:p w14:paraId="1E997A0E"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Lấy số liệu Quỹ dự phòng tài chính trong khoản mục</w:t>
            </w:r>
            <w:r w:rsidRPr="00B63314">
              <w:rPr>
                <w:rFonts w:cs="Times New Roman"/>
                <w:b/>
                <w:bCs/>
                <w:sz w:val="24"/>
                <w:szCs w:val="24"/>
              </w:rPr>
              <w:t> Quỹ của tổ chức tín dụng</w:t>
            </w:r>
            <w:r w:rsidRPr="00B63314">
              <w:rPr>
                <w:rFonts w:cs="Times New Roman"/>
                <w:sz w:val="24"/>
                <w:szCs w:val="24"/>
              </w:rPr>
              <w:t> trên Báo cáo tình hình tài chính hợp nhất được lập theo số liệu Bảng cân đối tài khoản kế toán của các đối tượng hợp nhất.</w:t>
            </w:r>
          </w:p>
        </w:tc>
      </w:tr>
      <w:tr w:rsidR="003171AF" w:rsidRPr="007F4317" w14:paraId="687CD695" w14:textId="77777777" w:rsidTr="00606FDA">
        <w:trPr>
          <w:jc w:val="center"/>
        </w:trPr>
        <w:tc>
          <w:tcPr>
            <w:tcW w:w="992" w:type="dxa"/>
            <w:shd w:val="clear" w:color="auto" w:fill="auto"/>
            <w:vAlign w:val="center"/>
          </w:tcPr>
          <w:p w14:paraId="7F7F7369"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(5)</w:t>
            </w:r>
          </w:p>
        </w:tc>
        <w:tc>
          <w:tcPr>
            <w:tcW w:w="5186" w:type="dxa"/>
            <w:shd w:val="clear" w:color="auto" w:fill="auto"/>
            <w:vAlign w:val="center"/>
          </w:tcPr>
          <w:p w14:paraId="577B732A"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Các quỹ khác được trích từ lợi nhuận sau thuế thu nhập doanh nghiệp theo quy định của pháp luật (không bao gồm quỹ khen thưởng, phúc lợi, quỹ thưởng ban điều hành)</w:t>
            </w:r>
          </w:p>
        </w:tc>
        <w:tc>
          <w:tcPr>
            <w:tcW w:w="7598" w:type="dxa"/>
          </w:tcPr>
          <w:p w14:paraId="35FDE667"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Lấy số liệu Quỹ khác trong khoản mục</w:t>
            </w:r>
            <w:r w:rsidRPr="00B63314">
              <w:rPr>
                <w:rFonts w:cs="Times New Roman"/>
                <w:b/>
                <w:bCs/>
                <w:sz w:val="24"/>
                <w:szCs w:val="24"/>
              </w:rPr>
              <w:t> Quỹ của tổ chức tín dụng</w:t>
            </w:r>
            <w:r w:rsidRPr="00B63314">
              <w:rPr>
                <w:rFonts w:cs="Times New Roman"/>
                <w:sz w:val="24"/>
                <w:szCs w:val="24"/>
              </w:rPr>
              <w:t> trên Báo cáo tình hình tài chính hợp nhất được lập theo số liệu Bảng cân đối tài khoản kế toán của các đối tượng hợp nhất.</w:t>
            </w:r>
          </w:p>
        </w:tc>
      </w:tr>
      <w:tr w:rsidR="003171AF" w:rsidRPr="007F4317" w14:paraId="26740743" w14:textId="77777777" w:rsidTr="00606FDA">
        <w:trPr>
          <w:jc w:val="center"/>
        </w:trPr>
        <w:tc>
          <w:tcPr>
            <w:tcW w:w="992" w:type="dxa"/>
            <w:shd w:val="clear" w:color="auto" w:fill="auto"/>
            <w:vAlign w:val="center"/>
          </w:tcPr>
          <w:p w14:paraId="1840F1D1"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lastRenderedPageBreak/>
              <w:t>(6)</w:t>
            </w:r>
          </w:p>
        </w:tc>
        <w:tc>
          <w:tcPr>
            <w:tcW w:w="5186" w:type="dxa"/>
            <w:shd w:val="clear" w:color="auto" w:fill="auto"/>
            <w:vAlign w:val="center"/>
          </w:tcPr>
          <w:p w14:paraId="0E8990AE" w14:textId="77777777" w:rsidR="003171AF" w:rsidRPr="00B63314" w:rsidRDefault="003171AF" w:rsidP="00CC7D8C">
            <w:pPr>
              <w:spacing w:before="120" w:after="120"/>
              <w:jc w:val="both"/>
              <w:rPr>
                <w:rFonts w:cs="Times New Roman"/>
                <w:i/>
                <w:iCs/>
                <w:sz w:val="24"/>
                <w:szCs w:val="24"/>
              </w:rPr>
            </w:pPr>
            <w:r w:rsidRPr="00B63314">
              <w:rPr>
                <w:rFonts w:cs="Times New Roman"/>
                <w:sz w:val="24"/>
                <w:szCs w:val="24"/>
              </w:rPr>
              <w:t>Vốn đầu tư xây dựng cơ bản, mua sắm tài sản cố định</w:t>
            </w:r>
          </w:p>
        </w:tc>
        <w:tc>
          <w:tcPr>
            <w:tcW w:w="7598" w:type="dxa"/>
          </w:tcPr>
          <w:p w14:paraId="4E802E10"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Vốn đầu tư xây dựng cơ bản, mua sắm tài sản cố định</w:t>
            </w:r>
            <w:r w:rsidRPr="00B63314">
              <w:rPr>
                <w:rFonts w:cs="Times New Roman"/>
                <w:sz w:val="24"/>
                <w:szCs w:val="24"/>
              </w:rPr>
              <w:t xml:space="preserve"> trên Báo cáo tình hình tài chính hợp nhất được lập theo số liệu Bảng cân đối tài khoản kế toán của các đối tượng hợp nhất.</w:t>
            </w:r>
          </w:p>
        </w:tc>
      </w:tr>
      <w:tr w:rsidR="003171AF" w:rsidRPr="007F4317" w14:paraId="72DBC0C0" w14:textId="77777777" w:rsidTr="00606FDA">
        <w:trPr>
          <w:jc w:val="center"/>
        </w:trPr>
        <w:tc>
          <w:tcPr>
            <w:tcW w:w="992" w:type="dxa"/>
            <w:shd w:val="clear" w:color="auto" w:fill="auto"/>
            <w:vAlign w:val="center"/>
          </w:tcPr>
          <w:p w14:paraId="4C475AF3"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(7)</w:t>
            </w:r>
          </w:p>
        </w:tc>
        <w:tc>
          <w:tcPr>
            <w:tcW w:w="5186" w:type="dxa"/>
            <w:shd w:val="clear" w:color="auto" w:fill="auto"/>
            <w:vAlign w:val="center"/>
          </w:tcPr>
          <w:p w14:paraId="6878EC4C"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Vốn khác</w:t>
            </w:r>
          </w:p>
        </w:tc>
        <w:tc>
          <w:tcPr>
            <w:tcW w:w="7598" w:type="dxa"/>
          </w:tcPr>
          <w:p w14:paraId="020E1F84"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Vốn khác</w:t>
            </w:r>
            <w:r w:rsidRPr="00B63314">
              <w:rPr>
                <w:rFonts w:cs="Times New Roman"/>
                <w:sz w:val="24"/>
                <w:szCs w:val="24"/>
              </w:rPr>
              <w:t xml:space="preserve"> trên Báo cáo tình hình tài chính hợp nhất được lập theo số liệu Bảng cân đối tài khoản kế toán của các đối tượng hợp nhất.</w:t>
            </w:r>
          </w:p>
        </w:tc>
      </w:tr>
      <w:tr w:rsidR="003171AF" w:rsidRPr="007F4317" w14:paraId="1694BB15" w14:textId="77777777" w:rsidTr="00606FDA">
        <w:trPr>
          <w:jc w:val="center"/>
        </w:trPr>
        <w:tc>
          <w:tcPr>
            <w:tcW w:w="992" w:type="dxa"/>
            <w:shd w:val="clear" w:color="auto" w:fill="auto"/>
            <w:vAlign w:val="center"/>
          </w:tcPr>
          <w:p w14:paraId="737E6FA0"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(8)</w:t>
            </w:r>
          </w:p>
        </w:tc>
        <w:tc>
          <w:tcPr>
            <w:tcW w:w="5186" w:type="dxa"/>
            <w:shd w:val="clear" w:color="auto" w:fill="auto"/>
            <w:vAlign w:val="center"/>
          </w:tcPr>
          <w:p w14:paraId="548D30DB"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Lợi nhuận chưa phân phối</w:t>
            </w:r>
          </w:p>
        </w:tc>
        <w:tc>
          <w:tcPr>
            <w:tcW w:w="7598" w:type="dxa"/>
          </w:tcPr>
          <w:p w14:paraId="47981268"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Lợi nhuận chưa phân phối</w:t>
            </w:r>
            <w:r w:rsidRPr="00B63314">
              <w:rPr>
                <w:rFonts w:cs="Times New Roman"/>
                <w:sz w:val="24"/>
                <w:szCs w:val="24"/>
              </w:rPr>
              <w:t xml:space="preserve"> trên Báo cáo tình hình tài chính hợp nhất được lập theo số liệu Bảng cân đối tài khoản kế toán của các đối tượng hợp nhất tại thời điểm tính tỷ lệ </w:t>
            </w:r>
            <w:proofErr w:type="gramStart"/>
            <w:r w:rsidRPr="00B63314">
              <w:rPr>
                <w:rFonts w:cs="Times New Roman"/>
                <w:sz w:val="24"/>
                <w:szCs w:val="24"/>
              </w:rPr>
              <w:t>an</w:t>
            </w:r>
            <w:proofErr w:type="gramEnd"/>
            <w:r w:rsidRPr="00B63314">
              <w:rPr>
                <w:rFonts w:cs="Times New Roman"/>
                <w:sz w:val="24"/>
                <w:szCs w:val="24"/>
              </w:rPr>
              <w:t xml:space="preserve"> toàn vốn tối thiểu hợp nhất.</w:t>
            </w:r>
          </w:p>
          <w:p w14:paraId="3006F93F"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Đối với ngân hàng được chấp thuận hoãn, giãn trích lập dự phòng rủi ro, lợi nhuận chưa phân phối phải trừ đi chênh lệch dương giữa số dự phòng rủi ro phải trích theo quy định của pháp luật về </w:t>
            </w:r>
            <w:r w:rsidRPr="00B63314">
              <w:rPr>
                <w:rFonts w:cs="Times New Roman"/>
                <w:sz w:val="24"/>
                <w:szCs w:val="24"/>
                <w:lang w:val="vi-VN"/>
              </w:rPr>
              <w:t>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w:t>
            </w:r>
            <w:r w:rsidRPr="00B63314">
              <w:rPr>
                <w:rFonts w:cs="Times New Roman"/>
                <w:sz w:val="24"/>
                <w:szCs w:val="24"/>
              </w:rPr>
              <w:t xml:space="preserve"> so với số dự phòng rủi ro đã trích.</w:t>
            </w:r>
          </w:p>
        </w:tc>
      </w:tr>
      <w:tr w:rsidR="003171AF" w:rsidRPr="007F4317" w14:paraId="123482AD" w14:textId="77777777" w:rsidTr="00606FDA">
        <w:trPr>
          <w:jc w:val="center"/>
        </w:trPr>
        <w:tc>
          <w:tcPr>
            <w:tcW w:w="992" w:type="dxa"/>
            <w:shd w:val="clear" w:color="auto" w:fill="auto"/>
            <w:vAlign w:val="center"/>
          </w:tcPr>
          <w:p w14:paraId="62D9DC42"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(9)</w:t>
            </w:r>
          </w:p>
        </w:tc>
        <w:tc>
          <w:tcPr>
            <w:tcW w:w="5186" w:type="dxa"/>
            <w:shd w:val="clear" w:color="auto" w:fill="auto"/>
            <w:vAlign w:val="center"/>
          </w:tcPr>
          <w:p w14:paraId="5AE3C2B1"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Thặng dư vốn cổ phần của cổ phần phổ thông</w:t>
            </w:r>
          </w:p>
        </w:tc>
        <w:tc>
          <w:tcPr>
            <w:tcW w:w="7598" w:type="dxa"/>
          </w:tcPr>
          <w:p w14:paraId="6EB0DDA9"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Thặng dư vốn cổ phần</w:t>
            </w:r>
            <w:r w:rsidRPr="00B63314">
              <w:rPr>
                <w:rFonts w:cs="Times New Roman"/>
                <w:sz w:val="24"/>
                <w:szCs w:val="24"/>
              </w:rPr>
              <w:t xml:space="preserve"> trên Báo cáo tình hình tài chính hợp nhất (được lập theo số liệu Bảng cân đối tài khoản kế toán của các đối tượng hợp nhất) nhân với tỷ trọng của cổ phần phổ thông trên tổng số cổ phần.</w:t>
            </w:r>
          </w:p>
        </w:tc>
      </w:tr>
      <w:tr w:rsidR="003171AF" w:rsidRPr="007F4317" w14:paraId="6DD2F123" w14:textId="77777777" w:rsidTr="00606FDA">
        <w:trPr>
          <w:jc w:val="center"/>
        </w:trPr>
        <w:tc>
          <w:tcPr>
            <w:tcW w:w="992" w:type="dxa"/>
            <w:shd w:val="clear" w:color="auto" w:fill="auto"/>
            <w:vAlign w:val="center"/>
          </w:tcPr>
          <w:p w14:paraId="0385D814"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(10)</w:t>
            </w:r>
          </w:p>
        </w:tc>
        <w:tc>
          <w:tcPr>
            <w:tcW w:w="5186" w:type="dxa"/>
            <w:shd w:val="clear" w:color="auto" w:fill="auto"/>
            <w:vAlign w:val="center"/>
          </w:tcPr>
          <w:p w14:paraId="40BF37B4"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Chênh lệch tỷ giá hối đoái phát sinh khi hợp nhất báo cáo tài chính</w:t>
            </w:r>
          </w:p>
        </w:tc>
        <w:tc>
          <w:tcPr>
            <w:tcW w:w="7598" w:type="dxa"/>
          </w:tcPr>
          <w:p w14:paraId="02C8D653" w14:textId="77777777" w:rsidR="003171AF" w:rsidRPr="00B63314" w:rsidRDefault="003171AF" w:rsidP="00CC7D8C">
            <w:pPr>
              <w:spacing w:before="120" w:after="120"/>
              <w:jc w:val="both"/>
              <w:rPr>
                <w:rFonts w:cs="Times New Roman"/>
                <w:sz w:val="24"/>
                <w:szCs w:val="24"/>
              </w:rPr>
            </w:pPr>
            <w:r w:rsidRPr="00B63314">
              <w:rPr>
                <w:rFonts w:cs="Times New Roman"/>
                <w:sz w:val="24"/>
                <w:szCs w:val="24"/>
                <w:lang w:val="vi-VN"/>
              </w:rPr>
              <w:t>Lấy số dư khoản </w:t>
            </w:r>
            <w:r w:rsidRPr="00B63314">
              <w:rPr>
                <w:rFonts w:cs="Times New Roman"/>
                <w:b/>
                <w:bCs/>
                <w:sz w:val="24"/>
                <w:szCs w:val="24"/>
                <w:lang w:val="vi-VN"/>
              </w:rPr>
              <w:t>Chênh lệch tỷ giá hối đoái</w:t>
            </w:r>
            <w:r w:rsidRPr="00B63314">
              <w:rPr>
                <w:rFonts w:cs="Times New Roman"/>
                <w:sz w:val="24"/>
                <w:szCs w:val="24"/>
                <w:lang w:val="vi-VN"/>
              </w:rPr>
              <w:t xml:space="preserve"> do đánh giá lại vốn chủ sở hữu có gốc ngoại tệ thuộc khoản mục Vốn Chủ sở hữu được ghi nhận trên </w:t>
            </w:r>
            <w:r w:rsidRPr="00B63314">
              <w:rPr>
                <w:rFonts w:cs="Times New Roman"/>
                <w:sz w:val="24"/>
                <w:szCs w:val="24"/>
              </w:rPr>
              <w:t xml:space="preserve">Báo cáo tình hình tài chính hợp nhất (được lập theo số liệu Bảng cân đối tài khoản kế toán của các đối tượng hợp nhất) </w:t>
            </w:r>
            <w:r w:rsidRPr="00B63314">
              <w:rPr>
                <w:rFonts w:cs="Times New Roman"/>
                <w:sz w:val="24"/>
                <w:szCs w:val="24"/>
                <w:lang w:val="vi-VN"/>
              </w:rPr>
              <w:t xml:space="preserve">khi chuyển đổi Báo cáo </w:t>
            </w:r>
            <w:r w:rsidRPr="00B63314">
              <w:rPr>
                <w:rFonts w:cs="Times New Roman"/>
                <w:sz w:val="24"/>
                <w:szCs w:val="24"/>
              </w:rPr>
              <w:t xml:space="preserve">tình hình </w:t>
            </w:r>
            <w:r w:rsidRPr="00B63314">
              <w:rPr>
                <w:rFonts w:cs="Times New Roman"/>
                <w:sz w:val="24"/>
                <w:szCs w:val="24"/>
                <w:lang w:val="vi-VN"/>
              </w:rPr>
              <w:t>tài chính</w:t>
            </w:r>
            <w:r w:rsidRPr="00B63314">
              <w:rPr>
                <w:rFonts w:cs="Times New Roman"/>
                <w:sz w:val="24"/>
                <w:szCs w:val="24"/>
              </w:rPr>
              <w:t xml:space="preserve"> hợp nhất</w:t>
            </w:r>
            <w:r w:rsidRPr="00B63314">
              <w:rPr>
                <w:rFonts w:cs="Times New Roman"/>
                <w:sz w:val="24"/>
                <w:szCs w:val="24"/>
                <w:lang w:val="vi-VN"/>
              </w:rPr>
              <w:t xml:space="preserve"> được lập bằng ngoại tệ ra đồng Việt Nam.</w:t>
            </w:r>
          </w:p>
        </w:tc>
      </w:tr>
      <w:tr w:rsidR="003171AF" w:rsidRPr="007F4317" w14:paraId="59656BF4" w14:textId="77777777" w:rsidTr="00606FDA">
        <w:trPr>
          <w:trHeight w:val="734"/>
          <w:jc w:val="center"/>
        </w:trPr>
        <w:tc>
          <w:tcPr>
            <w:tcW w:w="992" w:type="dxa"/>
            <w:shd w:val="clear" w:color="auto" w:fill="auto"/>
            <w:vAlign w:val="center"/>
          </w:tcPr>
          <w:p w14:paraId="5079B464" w14:textId="77777777" w:rsidR="003171AF" w:rsidRPr="00B63314" w:rsidRDefault="003171AF" w:rsidP="00CC7D8C">
            <w:pPr>
              <w:spacing w:before="120" w:after="120"/>
              <w:jc w:val="center"/>
              <w:rPr>
                <w:rFonts w:cs="Times New Roman"/>
                <w:i/>
                <w:iCs/>
                <w:sz w:val="24"/>
                <w:szCs w:val="24"/>
              </w:rPr>
            </w:pPr>
          </w:p>
        </w:tc>
        <w:tc>
          <w:tcPr>
            <w:tcW w:w="5186" w:type="dxa"/>
            <w:shd w:val="clear" w:color="auto" w:fill="auto"/>
            <w:vAlign w:val="center"/>
          </w:tcPr>
          <w:p w14:paraId="680A47A7" w14:textId="11D07AA2" w:rsidR="003171AF" w:rsidRPr="00B63314" w:rsidRDefault="003171AF" w:rsidP="00CC7D8C">
            <w:pPr>
              <w:spacing w:before="120" w:after="120"/>
              <w:jc w:val="both"/>
              <w:rPr>
                <w:rFonts w:cs="Times New Roman"/>
                <w:i/>
                <w:iCs/>
                <w:sz w:val="24"/>
                <w:szCs w:val="24"/>
              </w:rPr>
            </w:pPr>
            <w:r w:rsidRPr="00B63314">
              <w:rPr>
                <w:rFonts w:cs="Times New Roman"/>
                <w:b/>
                <w:i/>
                <w:iCs/>
                <w:sz w:val="24"/>
                <w:szCs w:val="24"/>
              </w:rPr>
              <w:t xml:space="preserve">Các khoản </w:t>
            </w:r>
            <w:r w:rsidR="00C32A2C">
              <w:rPr>
                <w:rFonts w:cs="Times New Roman"/>
                <w:b/>
                <w:i/>
                <w:iCs/>
                <w:sz w:val="24"/>
                <w:szCs w:val="24"/>
              </w:rPr>
              <w:t>giảm</w:t>
            </w:r>
            <w:r w:rsidR="00C32A2C" w:rsidRPr="00B63314">
              <w:rPr>
                <w:rFonts w:cs="Times New Roman"/>
                <w:b/>
                <w:i/>
                <w:iCs/>
                <w:sz w:val="24"/>
                <w:szCs w:val="24"/>
              </w:rPr>
              <w:t xml:space="preserve"> </w:t>
            </w:r>
            <w:r w:rsidRPr="00B63314">
              <w:rPr>
                <w:rFonts w:cs="Times New Roman"/>
                <w:b/>
                <w:i/>
                <w:iCs/>
                <w:sz w:val="24"/>
                <w:szCs w:val="24"/>
              </w:rPr>
              <w:t>trừ khỏi Vốn lõi cấp 1 hợp nhất</w:t>
            </w:r>
            <w:r>
              <w:rPr>
                <w:rFonts w:cs="Times New Roman"/>
                <w:b/>
                <w:i/>
                <w:iCs/>
                <w:sz w:val="24"/>
                <w:szCs w:val="24"/>
              </w:rPr>
              <w:t xml:space="preserve"> </w:t>
            </w:r>
            <w:r w:rsidRPr="00B63314">
              <w:rPr>
                <w:rFonts w:cs="Times New Roman"/>
                <w:b/>
                <w:i/>
                <w:iCs/>
                <w:sz w:val="24"/>
                <w:szCs w:val="24"/>
              </w:rPr>
              <w:t xml:space="preserve">(A12) = </w:t>
            </w:r>
            <w:r w:rsidRPr="00B63314">
              <w:rPr>
                <w:rFonts w:cs="Times New Roman"/>
                <w:b/>
                <w:bCs/>
                <w:i/>
                <w:iCs/>
                <w:sz w:val="24"/>
                <w:szCs w:val="24"/>
                <w:lang w:val="pt-BR"/>
              </w:rPr>
              <w:t>∑</w:t>
            </w:r>
            <w:r w:rsidR="00160DD8">
              <w:rPr>
                <w:rFonts w:cs="Times New Roman"/>
                <w:b/>
                <w:bCs/>
                <w:i/>
                <w:iCs/>
                <w:sz w:val="24"/>
                <w:szCs w:val="24"/>
                <w:lang w:val="pt-BR"/>
              </w:rPr>
              <w:t>(</w:t>
            </w:r>
            <w:r w:rsidRPr="00B63314">
              <w:rPr>
                <w:rFonts w:cs="Times New Roman"/>
                <w:b/>
                <w:bCs/>
                <w:i/>
                <w:iCs/>
                <w:sz w:val="24"/>
                <w:szCs w:val="24"/>
                <w:lang w:val="pt-BR"/>
              </w:rPr>
              <w:t>11</w:t>
            </w:r>
            <w:r w:rsidR="00160DD8">
              <w:rPr>
                <w:rFonts w:cs="Times New Roman"/>
                <w:b/>
                <w:bCs/>
                <w:i/>
                <w:iCs/>
                <w:sz w:val="24"/>
                <w:szCs w:val="24"/>
                <w:lang w:val="pt-BR"/>
              </w:rPr>
              <w:t xml:space="preserve">) </w:t>
            </w:r>
            <w:r w:rsidRPr="00B63314">
              <w:rPr>
                <w:rFonts w:cs="Times New Roman"/>
                <w:b/>
                <w:bCs/>
                <w:i/>
                <w:iCs/>
                <w:sz w:val="24"/>
                <w:szCs w:val="24"/>
                <w:lang w:val="pt-BR"/>
              </w:rPr>
              <w:t xml:space="preserve">÷ </w:t>
            </w:r>
            <w:r w:rsidR="00160DD8">
              <w:rPr>
                <w:rFonts w:cs="Times New Roman"/>
                <w:b/>
                <w:bCs/>
                <w:i/>
                <w:iCs/>
                <w:sz w:val="24"/>
                <w:szCs w:val="24"/>
                <w:lang w:val="pt-BR"/>
              </w:rPr>
              <w:t>(</w:t>
            </w:r>
            <w:r w:rsidRPr="00B63314">
              <w:rPr>
                <w:rFonts w:cs="Times New Roman"/>
                <w:b/>
                <w:bCs/>
                <w:i/>
                <w:iCs/>
                <w:sz w:val="24"/>
                <w:szCs w:val="24"/>
                <w:lang w:val="pt-BR"/>
              </w:rPr>
              <w:t>19</w:t>
            </w:r>
            <w:r w:rsidR="00160DD8">
              <w:rPr>
                <w:rFonts w:cs="Times New Roman"/>
                <w:b/>
                <w:bCs/>
                <w:i/>
                <w:iCs/>
                <w:sz w:val="24"/>
                <w:szCs w:val="24"/>
                <w:lang w:val="pt-BR"/>
              </w:rPr>
              <w:t>)</w:t>
            </w:r>
          </w:p>
        </w:tc>
        <w:tc>
          <w:tcPr>
            <w:tcW w:w="7598" w:type="dxa"/>
          </w:tcPr>
          <w:p w14:paraId="6D6BBE03" w14:textId="77777777" w:rsidR="003171AF" w:rsidRPr="00B63314" w:rsidRDefault="003171AF" w:rsidP="00CC7D8C">
            <w:pPr>
              <w:spacing w:before="120" w:after="120"/>
              <w:jc w:val="both"/>
              <w:rPr>
                <w:rFonts w:cs="Times New Roman"/>
                <w:i/>
                <w:iCs/>
                <w:sz w:val="24"/>
                <w:szCs w:val="24"/>
                <w:lang w:val="vi-VN"/>
              </w:rPr>
            </w:pPr>
          </w:p>
        </w:tc>
      </w:tr>
      <w:tr w:rsidR="003171AF" w:rsidRPr="007F4317" w14:paraId="2E501274" w14:textId="77777777" w:rsidTr="00606FDA">
        <w:trPr>
          <w:jc w:val="center"/>
        </w:trPr>
        <w:tc>
          <w:tcPr>
            <w:tcW w:w="992" w:type="dxa"/>
            <w:shd w:val="clear" w:color="auto" w:fill="auto"/>
            <w:vAlign w:val="center"/>
          </w:tcPr>
          <w:p w14:paraId="22EB5B04"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(11)</w:t>
            </w:r>
          </w:p>
        </w:tc>
        <w:tc>
          <w:tcPr>
            <w:tcW w:w="5186" w:type="dxa"/>
            <w:shd w:val="clear" w:color="auto" w:fill="auto"/>
            <w:vAlign w:val="center"/>
          </w:tcPr>
          <w:p w14:paraId="3A0F6718" w14:textId="77777777" w:rsidR="003171AF" w:rsidRPr="00B63314" w:rsidRDefault="003171AF" w:rsidP="00CC7D8C">
            <w:pPr>
              <w:spacing w:before="120" w:after="120"/>
              <w:jc w:val="both"/>
              <w:rPr>
                <w:rFonts w:cs="Times New Roman"/>
                <w:bCs/>
                <w:sz w:val="24"/>
                <w:szCs w:val="24"/>
              </w:rPr>
            </w:pPr>
            <w:r w:rsidRPr="00B63314">
              <w:rPr>
                <w:rFonts w:cs="Times New Roman"/>
                <w:bCs/>
                <w:sz w:val="24"/>
                <w:szCs w:val="24"/>
              </w:rPr>
              <w:t>Lợi thế thương mại</w:t>
            </w:r>
          </w:p>
        </w:tc>
        <w:tc>
          <w:tcPr>
            <w:tcW w:w="7598" w:type="dxa"/>
          </w:tcPr>
          <w:p w14:paraId="7BF2D7DC" w14:textId="77777777" w:rsidR="003171AF" w:rsidRPr="00B63314" w:rsidRDefault="003171AF" w:rsidP="00CC7D8C">
            <w:pPr>
              <w:spacing w:before="120" w:after="120"/>
              <w:jc w:val="both"/>
              <w:rPr>
                <w:rFonts w:cs="Times New Roman"/>
                <w:sz w:val="24"/>
                <w:szCs w:val="24"/>
                <w:lang w:val="vi-VN"/>
              </w:rPr>
            </w:pPr>
            <w:r w:rsidRPr="00B63314">
              <w:rPr>
                <w:rFonts w:cs="Times New Roman"/>
                <w:sz w:val="24"/>
                <w:szCs w:val="24"/>
              </w:rPr>
              <w:t xml:space="preserve">Lấy số liệu </w:t>
            </w:r>
            <w:r w:rsidRPr="00B63314">
              <w:rPr>
                <w:rFonts w:cs="Times New Roman"/>
                <w:b/>
                <w:bCs/>
                <w:sz w:val="24"/>
                <w:szCs w:val="24"/>
              </w:rPr>
              <w:t>Lợi thế thương mại</w:t>
            </w:r>
            <w:r w:rsidRPr="00B63314">
              <w:rPr>
                <w:rFonts w:cs="Times New Roman"/>
                <w:sz w:val="24"/>
                <w:szCs w:val="24"/>
              </w:rPr>
              <w:t xml:space="preserve"> phát sinh khi hợp nhất kinh doanh được xác định theo chuẩn mực kế toán hợp nhất kinh doanh trên Báo cáo tình hình tài chính hợp nhất.</w:t>
            </w:r>
          </w:p>
        </w:tc>
      </w:tr>
      <w:tr w:rsidR="003171AF" w:rsidRPr="007F4317" w14:paraId="5FBE3980" w14:textId="77777777" w:rsidTr="00606FDA">
        <w:trPr>
          <w:jc w:val="center"/>
        </w:trPr>
        <w:tc>
          <w:tcPr>
            <w:tcW w:w="992" w:type="dxa"/>
            <w:shd w:val="clear" w:color="auto" w:fill="auto"/>
            <w:vAlign w:val="center"/>
          </w:tcPr>
          <w:p w14:paraId="50E0A576"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(12)</w:t>
            </w:r>
          </w:p>
        </w:tc>
        <w:tc>
          <w:tcPr>
            <w:tcW w:w="5186" w:type="dxa"/>
            <w:shd w:val="clear" w:color="auto" w:fill="auto"/>
            <w:vAlign w:val="center"/>
          </w:tcPr>
          <w:p w14:paraId="553877FB" w14:textId="77777777" w:rsidR="003171AF" w:rsidRPr="00B63314" w:rsidRDefault="003171AF" w:rsidP="00CC7D8C">
            <w:pPr>
              <w:spacing w:before="120" w:after="120"/>
              <w:jc w:val="both"/>
              <w:rPr>
                <w:rFonts w:cs="Times New Roman"/>
                <w:b/>
                <w:sz w:val="24"/>
                <w:szCs w:val="24"/>
              </w:rPr>
            </w:pPr>
            <w:r w:rsidRPr="00B63314">
              <w:rPr>
                <w:rFonts w:cs="Times New Roman"/>
                <w:sz w:val="24"/>
                <w:szCs w:val="24"/>
              </w:rPr>
              <w:t xml:space="preserve">Các tài sản cố định vô hình (không bao gồm quyền sử dụng đất) </w:t>
            </w:r>
          </w:p>
        </w:tc>
        <w:tc>
          <w:tcPr>
            <w:tcW w:w="7598" w:type="dxa"/>
          </w:tcPr>
          <w:p w14:paraId="725FC966"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giá trị còn lại của </w:t>
            </w:r>
            <w:r w:rsidRPr="00B63314">
              <w:rPr>
                <w:rFonts w:cs="Times New Roman"/>
                <w:b/>
                <w:bCs/>
                <w:sz w:val="24"/>
                <w:szCs w:val="24"/>
              </w:rPr>
              <w:t xml:space="preserve">Tài sản cố định vô hình </w:t>
            </w:r>
            <w:r w:rsidRPr="00B63314">
              <w:rPr>
                <w:rFonts w:cs="Times New Roman"/>
                <w:sz w:val="24"/>
                <w:szCs w:val="24"/>
              </w:rPr>
              <w:t>(không bao gồm quyền sử dụng đất) trên Thuyết minh báo cáo tài chính hợp nhất được lập theo số liệu Bảng cân đối tài khoản kế toán của các đối tượng hợp nhất của các đối tượng hợp nhất.</w:t>
            </w:r>
          </w:p>
        </w:tc>
      </w:tr>
      <w:tr w:rsidR="003171AF" w:rsidRPr="007F4317" w14:paraId="4965B75E" w14:textId="77777777" w:rsidTr="00606FDA">
        <w:trPr>
          <w:jc w:val="center"/>
        </w:trPr>
        <w:tc>
          <w:tcPr>
            <w:tcW w:w="992" w:type="dxa"/>
            <w:shd w:val="clear" w:color="auto" w:fill="auto"/>
            <w:vAlign w:val="center"/>
          </w:tcPr>
          <w:p w14:paraId="1FB0CF79"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(13)</w:t>
            </w:r>
          </w:p>
        </w:tc>
        <w:tc>
          <w:tcPr>
            <w:tcW w:w="5186" w:type="dxa"/>
            <w:shd w:val="clear" w:color="auto" w:fill="auto"/>
            <w:vAlign w:val="center"/>
          </w:tcPr>
          <w:p w14:paraId="5D1424FB" w14:textId="77777777" w:rsidR="003171AF" w:rsidRPr="00B63314" w:rsidRDefault="003171AF" w:rsidP="00CC7D8C">
            <w:pPr>
              <w:spacing w:before="120" w:after="120"/>
              <w:jc w:val="both"/>
              <w:rPr>
                <w:rFonts w:cs="Times New Roman"/>
                <w:b/>
                <w:sz w:val="24"/>
                <w:szCs w:val="24"/>
              </w:rPr>
            </w:pPr>
            <w:r w:rsidRPr="00B63314">
              <w:rPr>
                <w:rFonts w:cs="Times New Roman"/>
                <w:sz w:val="24"/>
                <w:szCs w:val="24"/>
              </w:rPr>
              <w:t xml:space="preserve">Tài sản thuế thu nhập hoãn lại </w:t>
            </w:r>
          </w:p>
        </w:tc>
        <w:tc>
          <w:tcPr>
            <w:tcW w:w="7598" w:type="dxa"/>
          </w:tcPr>
          <w:p w14:paraId="68DB8AB9" w14:textId="77777777" w:rsidR="003171AF" w:rsidRPr="00B63314" w:rsidRDefault="003171AF" w:rsidP="00CC7D8C">
            <w:pPr>
              <w:spacing w:before="120" w:after="120"/>
              <w:jc w:val="both"/>
              <w:rPr>
                <w:rFonts w:cs="Times New Roman"/>
                <w:sz w:val="24"/>
                <w:szCs w:val="24"/>
                <w:lang w:val="vi-VN"/>
              </w:rPr>
            </w:pPr>
            <w:r w:rsidRPr="00B63314">
              <w:rPr>
                <w:rFonts w:cs="Times New Roman"/>
                <w:sz w:val="24"/>
                <w:szCs w:val="24"/>
              </w:rPr>
              <w:t xml:space="preserve">Lấy số liệu từ </w:t>
            </w:r>
            <w:r w:rsidRPr="00B63314">
              <w:rPr>
                <w:rFonts w:cs="Times New Roman"/>
                <w:b/>
                <w:bCs/>
                <w:sz w:val="24"/>
                <w:szCs w:val="24"/>
              </w:rPr>
              <w:t>Tài sản thuế thu nhập hoãn lại phát sinh từ các khoản chênh lệch tạm thời phải chịu thuế</w:t>
            </w:r>
            <w:r w:rsidRPr="00B63314">
              <w:rPr>
                <w:rFonts w:cs="Times New Roman"/>
                <w:sz w:val="24"/>
                <w:szCs w:val="24"/>
              </w:rPr>
              <w:t xml:space="preserve"> tại Thuyết minh báo cáo tài chính hợp nhất được lập theo số liệu Bảng cân đối tài khoản kế toán của các đối tượng hợp nhất của các đối tượng hợp nhất.</w:t>
            </w:r>
          </w:p>
        </w:tc>
      </w:tr>
      <w:tr w:rsidR="003171AF" w:rsidRPr="007F4317" w14:paraId="0D2F05F0" w14:textId="77777777" w:rsidTr="00606FDA">
        <w:trPr>
          <w:jc w:val="center"/>
        </w:trPr>
        <w:tc>
          <w:tcPr>
            <w:tcW w:w="992" w:type="dxa"/>
            <w:shd w:val="clear" w:color="auto" w:fill="auto"/>
            <w:vAlign w:val="center"/>
          </w:tcPr>
          <w:p w14:paraId="5E387B05" w14:textId="77777777" w:rsidR="003171AF" w:rsidRPr="00B63314" w:rsidRDefault="003171AF" w:rsidP="00CC7D8C">
            <w:pPr>
              <w:spacing w:before="120" w:after="120"/>
              <w:jc w:val="center"/>
              <w:rPr>
                <w:rFonts w:cs="Times New Roman"/>
                <w:sz w:val="24"/>
                <w:szCs w:val="24"/>
              </w:rPr>
            </w:pPr>
            <w:r w:rsidRPr="00B63314">
              <w:rPr>
                <w:rFonts w:cs="Times New Roman"/>
                <w:color w:val="000000"/>
                <w:sz w:val="24"/>
                <w:szCs w:val="24"/>
              </w:rPr>
              <w:t>(14)</w:t>
            </w:r>
          </w:p>
        </w:tc>
        <w:tc>
          <w:tcPr>
            <w:tcW w:w="5186" w:type="dxa"/>
            <w:shd w:val="clear" w:color="auto" w:fill="auto"/>
            <w:vAlign w:val="center"/>
          </w:tcPr>
          <w:p w14:paraId="37D461E8" w14:textId="77777777" w:rsidR="003171AF" w:rsidRPr="00B63314" w:rsidRDefault="003171AF" w:rsidP="00CC7D8C">
            <w:pPr>
              <w:spacing w:before="120" w:after="120"/>
              <w:jc w:val="both"/>
              <w:rPr>
                <w:rFonts w:cs="Times New Roman"/>
                <w:i/>
                <w:iCs/>
                <w:sz w:val="24"/>
                <w:szCs w:val="24"/>
              </w:rPr>
            </w:pPr>
            <w:r w:rsidRPr="00B63314">
              <w:rPr>
                <w:rFonts w:cs="Times New Roman"/>
                <w:color w:val="000000"/>
                <w:sz w:val="24"/>
                <w:szCs w:val="24"/>
              </w:rPr>
              <w:t>Lỗ lũy kế</w:t>
            </w:r>
          </w:p>
        </w:tc>
        <w:tc>
          <w:tcPr>
            <w:tcW w:w="7598" w:type="dxa"/>
            <w:vAlign w:val="center"/>
          </w:tcPr>
          <w:p w14:paraId="69BCDB1E" w14:textId="77777777" w:rsidR="003171AF" w:rsidRPr="00B63314" w:rsidRDefault="003171AF" w:rsidP="00CC7D8C">
            <w:pPr>
              <w:spacing w:before="120" w:after="120"/>
              <w:jc w:val="both"/>
              <w:rPr>
                <w:rFonts w:cs="Times New Roman"/>
                <w:sz w:val="24"/>
                <w:szCs w:val="24"/>
              </w:rPr>
            </w:pPr>
            <w:r w:rsidRPr="00B63314">
              <w:rPr>
                <w:rFonts w:cs="Times New Roman"/>
                <w:color w:val="000000"/>
                <w:sz w:val="24"/>
                <w:szCs w:val="24"/>
              </w:rPr>
              <w:t>Lấy số liệu </w:t>
            </w:r>
            <w:r w:rsidRPr="00B63314">
              <w:rPr>
                <w:rFonts w:cs="Times New Roman"/>
                <w:b/>
                <w:bCs/>
                <w:color w:val="000000"/>
                <w:sz w:val="24"/>
                <w:szCs w:val="24"/>
              </w:rPr>
              <w:t>Lỗ lũy kế </w:t>
            </w:r>
            <w:r w:rsidRPr="00B63314">
              <w:rPr>
                <w:rFonts w:cs="Times New Roman"/>
                <w:color w:val="000000"/>
                <w:sz w:val="24"/>
                <w:szCs w:val="24"/>
              </w:rPr>
              <w:t xml:space="preserve">tại thời điểm tính tỷ lệ </w:t>
            </w:r>
            <w:proofErr w:type="gramStart"/>
            <w:r w:rsidRPr="00B63314">
              <w:rPr>
                <w:rFonts w:cs="Times New Roman"/>
                <w:color w:val="000000"/>
                <w:sz w:val="24"/>
                <w:szCs w:val="24"/>
              </w:rPr>
              <w:t>an</w:t>
            </w:r>
            <w:proofErr w:type="gramEnd"/>
            <w:r w:rsidRPr="00B63314">
              <w:rPr>
                <w:rFonts w:cs="Times New Roman"/>
                <w:color w:val="000000"/>
                <w:sz w:val="24"/>
                <w:szCs w:val="24"/>
              </w:rPr>
              <w:t xml:space="preserve"> toàn vốn.</w:t>
            </w:r>
          </w:p>
        </w:tc>
      </w:tr>
      <w:tr w:rsidR="003171AF" w:rsidRPr="007F4317" w14:paraId="402F94B5" w14:textId="77777777" w:rsidTr="00606FDA">
        <w:trPr>
          <w:jc w:val="center"/>
        </w:trPr>
        <w:tc>
          <w:tcPr>
            <w:tcW w:w="992" w:type="dxa"/>
            <w:shd w:val="clear" w:color="auto" w:fill="auto"/>
            <w:vAlign w:val="center"/>
          </w:tcPr>
          <w:p w14:paraId="60037B36"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(15)</w:t>
            </w:r>
          </w:p>
        </w:tc>
        <w:tc>
          <w:tcPr>
            <w:tcW w:w="5186" w:type="dxa"/>
            <w:shd w:val="clear" w:color="auto" w:fill="auto"/>
            <w:vAlign w:val="center"/>
          </w:tcPr>
          <w:p w14:paraId="009ABB36" w14:textId="77777777" w:rsidR="003171AF" w:rsidRPr="00B63314" w:rsidRDefault="003171AF" w:rsidP="00CC7D8C">
            <w:pPr>
              <w:spacing w:before="120" w:after="120"/>
              <w:jc w:val="both"/>
              <w:rPr>
                <w:rFonts w:cs="Times New Roman"/>
                <w:i/>
                <w:iCs/>
                <w:sz w:val="24"/>
                <w:szCs w:val="24"/>
              </w:rPr>
            </w:pPr>
            <w:r w:rsidRPr="00B63314">
              <w:rPr>
                <w:rFonts w:cs="Times New Roman"/>
                <w:sz w:val="24"/>
                <w:szCs w:val="24"/>
              </w:rPr>
              <w:t>Cổ phiếu quỹ ứng với cổ phần phổ thông</w:t>
            </w:r>
          </w:p>
        </w:tc>
        <w:tc>
          <w:tcPr>
            <w:tcW w:w="7598" w:type="dxa"/>
          </w:tcPr>
          <w:p w14:paraId="4B0CAC02"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Cổ phiếu quỹ</w:t>
            </w:r>
            <w:r w:rsidRPr="00B63314">
              <w:rPr>
                <w:rFonts w:cs="Times New Roman"/>
                <w:sz w:val="24"/>
                <w:szCs w:val="24"/>
              </w:rPr>
              <w:t xml:space="preserve"> trên Báo cáo tình hình tài chính hợp nhất (được lập theo số liệu Bảng cân đối tài khoản kế toán của các đối tượng hợp nhất) nhân với tỷ trọng của cổ phần phổ thông trên tổng số cổ phần.</w:t>
            </w:r>
          </w:p>
        </w:tc>
      </w:tr>
      <w:tr w:rsidR="003171AF" w:rsidRPr="007F4317" w14:paraId="26E6B8E6" w14:textId="77777777" w:rsidTr="00606FDA">
        <w:trPr>
          <w:jc w:val="center"/>
        </w:trPr>
        <w:tc>
          <w:tcPr>
            <w:tcW w:w="992" w:type="dxa"/>
            <w:shd w:val="clear" w:color="auto" w:fill="auto"/>
            <w:vAlign w:val="center"/>
          </w:tcPr>
          <w:p w14:paraId="7C68A9BC"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(16)</w:t>
            </w:r>
          </w:p>
        </w:tc>
        <w:tc>
          <w:tcPr>
            <w:tcW w:w="5186" w:type="dxa"/>
            <w:shd w:val="clear" w:color="auto" w:fill="auto"/>
            <w:vAlign w:val="center"/>
          </w:tcPr>
          <w:p w14:paraId="56448429" w14:textId="08B44692" w:rsidR="003171AF" w:rsidRPr="00B63314" w:rsidRDefault="003171AF" w:rsidP="00CC7D8C">
            <w:pPr>
              <w:spacing w:before="120" w:after="120"/>
              <w:jc w:val="both"/>
              <w:rPr>
                <w:rFonts w:cs="Times New Roman"/>
                <w:sz w:val="24"/>
                <w:szCs w:val="24"/>
              </w:rPr>
            </w:pPr>
            <w:r w:rsidRPr="00B63314">
              <w:rPr>
                <w:rFonts w:cs="Times New Roman"/>
                <w:sz w:val="24"/>
                <w:szCs w:val="24"/>
              </w:rPr>
              <w:t>Phần chênh lệch dương của tổng mức tổn thất dự kiến so với dự phòng</w:t>
            </w:r>
            <w:r w:rsidR="00160DD8">
              <w:rPr>
                <w:rFonts w:cs="Times New Roman"/>
                <w:sz w:val="24"/>
                <w:szCs w:val="24"/>
              </w:rPr>
              <w:t xml:space="preserve"> rủi ro</w:t>
            </w:r>
            <w:r w:rsidRPr="00B63314">
              <w:rPr>
                <w:rFonts w:cs="Times New Roman"/>
                <w:sz w:val="24"/>
                <w:szCs w:val="24"/>
              </w:rPr>
              <w:t xml:space="preserve"> của danh mục tài sản </w:t>
            </w:r>
            <w:r w:rsidR="00747E9C">
              <w:rPr>
                <w:rFonts w:cs="Times New Roman"/>
                <w:sz w:val="24"/>
                <w:szCs w:val="24"/>
              </w:rPr>
              <w:t xml:space="preserve">được </w:t>
            </w:r>
            <w:r w:rsidR="00E72FA9">
              <w:rPr>
                <w:rFonts w:cs="Times New Roman"/>
                <w:sz w:val="24"/>
                <w:szCs w:val="24"/>
              </w:rPr>
              <w:t>áp dụng</w:t>
            </w:r>
            <w:r w:rsidRPr="00B63314">
              <w:rPr>
                <w:rFonts w:cs="Times New Roman"/>
                <w:sz w:val="24"/>
                <w:szCs w:val="24"/>
              </w:rPr>
              <w:t xml:space="preserve"> </w:t>
            </w:r>
            <w:r w:rsidR="00904DDB" w:rsidRPr="00904DDB">
              <w:rPr>
                <w:rFonts w:cs="Times New Roman"/>
                <w:sz w:val="24"/>
                <w:szCs w:val="24"/>
              </w:rPr>
              <w:t>phương pháp xếp hạng nội bộ</w:t>
            </w:r>
          </w:p>
        </w:tc>
        <w:tc>
          <w:tcPr>
            <w:tcW w:w="7598" w:type="dxa"/>
          </w:tcPr>
          <w:p w14:paraId="1D8F0445" w14:textId="62AAD592"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Chỉ tính chênh lệch cho danh mục tài sản </w:t>
            </w:r>
            <w:r w:rsidR="00747E9C">
              <w:rPr>
                <w:rFonts w:cs="Times New Roman"/>
                <w:sz w:val="24"/>
                <w:szCs w:val="24"/>
              </w:rPr>
              <w:t xml:space="preserve">được </w:t>
            </w:r>
            <w:r w:rsidR="00E72FA9" w:rsidRPr="00E72FA9">
              <w:rPr>
                <w:rFonts w:cs="Times New Roman"/>
                <w:sz w:val="24"/>
                <w:szCs w:val="24"/>
              </w:rPr>
              <w:t xml:space="preserve">áp dụng </w:t>
            </w:r>
            <w:r w:rsidR="00904DDB" w:rsidRPr="00904DDB">
              <w:rPr>
                <w:rFonts w:cs="Times New Roman"/>
                <w:sz w:val="24"/>
                <w:szCs w:val="24"/>
              </w:rPr>
              <w:t>phương pháp xếp hạng nội bộ</w:t>
            </w:r>
            <w:r w:rsidR="0067417C">
              <w:rPr>
                <w:rFonts w:cs="Times New Roman"/>
                <w:sz w:val="24"/>
                <w:szCs w:val="24"/>
              </w:rPr>
              <w:t xml:space="preserve"> theo quy định tại khoản 1 Điều </w:t>
            </w:r>
            <w:r w:rsidR="005D174C">
              <w:rPr>
                <w:rFonts w:cs="Times New Roman"/>
                <w:sz w:val="24"/>
                <w:szCs w:val="24"/>
              </w:rPr>
              <w:t>62</w:t>
            </w:r>
            <w:r w:rsidR="0067417C">
              <w:rPr>
                <w:rFonts w:cs="Times New Roman"/>
                <w:sz w:val="24"/>
                <w:szCs w:val="24"/>
              </w:rPr>
              <w:t xml:space="preserve"> Thông tư này.</w:t>
            </w:r>
          </w:p>
          <w:p w14:paraId="12A389B6" w14:textId="2F0D1DDD"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Ngân hàng thương mại trừ 50% phần chênh lệch vào vốn lõi cấp 1 và 50% phần chênh lệch còn lại vào vốn cấp 2 trong 02 năm kể từ ngày được Ngân hàng Nhà nước chấp thuận áp dụng </w:t>
            </w:r>
            <w:r w:rsidR="00904DDB">
              <w:rPr>
                <w:rFonts w:cs="Times New Roman"/>
                <w:sz w:val="24"/>
                <w:szCs w:val="24"/>
              </w:rPr>
              <w:t>phương pháp xếp hạng nội bộ</w:t>
            </w:r>
            <w:r w:rsidRPr="00B63314">
              <w:rPr>
                <w:rFonts w:cs="Times New Roman"/>
                <w:sz w:val="24"/>
                <w:szCs w:val="24"/>
              </w:rPr>
              <w:t xml:space="preserve">. Kể từ năm </w:t>
            </w:r>
            <w:r w:rsidRPr="00B63314">
              <w:rPr>
                <w:rFonts w:cs="Times New Roman"/>
                <w:sz w:val="24"/>
                <w:szCs w:val="24"/>
              </w:rPr>
              <w:lastRenderedPageBreak/>
              <w:t xml:space="preserve">thứ </w:t>
            </w:r>
            <w:r w:rsidR="00A23B06">
              <w:rPr>
                <w:rFonts w:cs="Times New Roman"/>
                <w:sz w:val="24"/>
                <w:szCs w:val="24"/>
              </w:rPr>
              <w:t>ba</w:t>
            </w:r>
            <w:r w:rsidRPr="00B63314">
              <w:rPr>
                <w:rFonts w:cs="Times New Roman"/>
                <w:sz w:val="24"/>
                <w:szCs w:val="24"/>
              </w:rPr>
              <w:t xml:space="preserve"> trở đi, ngân hàng thương mại trừ toàn bộ phần chênh lệch vào vốn lõi cấp 1.</w:t>
            </w:r>
          </w:p>
        </w:tc>
      </w:tr>
      <w:tr w:rsidR="003171AF" w:rsidRPr="007F4317" w14:paraId="20A8009F" w14:textId="77777777" w:rsidTr="00606FDA">
        <w:trPr>
          <w:jc w:val="center"/>
        </w:trPr>
        <w:tc>
          <w:tcPr>
            <w:tcW w:w="992" w:type="dxa"/>
            <w:shd w:val="clear" w:color="auto" w:fill="auto"/>
            <w:vAlign w:val="center"/>
          </w:tcPr>
          <w:p w14:paraId="7C5028B7"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lastRenderedPageBreak/>
              <w:t>(17)</w:t>
            </w:r>
          </w:p>
        </w:tc>
        <w:tc>
          <w:tcPr>
            <w:tcW w:w="5186" w:type="dxa"/>
            <w:shd w:val="clear" w:color="auto" w:fill="auto"/>
            <w:vAlign w:val="center"/>
          </w:tcPr>
          <w:p w14:paraId="2A36FA87" w14:textId="77777777" w:rsidR="003171AF" w:rsidRPr="00B63314" w:rsidRDefault="003171AF" w:rsidP="00CC7D8C">
            <w:pPr>
              <w:spacing w:before="120" w:after="120"/>
              <w:jc w:val="both"/>
              <w:rPr>
                <w:rFonts w:cs="Times New Roman"/>
                <w:sz w:val="24"/>
                <w:szCs w:val="24"/>
              </w:rPr>
            </w:pPr>
            <w:bookmarkStart w:id="2" w:name="_Hlk199681543"/>
            <w:r w:rsidRPr="00B63314">
              <w:rPr>
                <w:rFonts w:cs="Times New Roman"/>
                <w:sz w:val="24"/>
                <w:szCs w:val="24"/>
              </w:rPr>
              <w:t xml:space="preserve">Các khoản góp vốn, mua cổ phần tại </w:t>
            </w:r>
            <w:r w:rsidRPr="00B63314">
              <w:rPr>
                <w:rFonts w:cs="Times New Roman"/>
                <w:sz w:val="24"/>
                <w:szCs w:val="24"/>
                <w:lang w:val="vi-VN"/>
              </w:rPr>
              <w:t>tổ chức tín dụng khác, công ty con của tổ chức tín dụng</w:t>
            </w:r>
            <w:r w:rsidRPr="00B63314">
              <w:rPr>
                <w:rFonts w:cs="Times New Roman"/>
                <w:sz w:val="24"/>
                <w:szCs w:val="24"/>
              </w:rPr>
              <w:t xml:space="preserve"> và </w:t>
            </w:r>
            <w:r w:rsidRPr="00B63314">
              <w:rPr>
                <w:rFonts w:cs="Times New Roman"/>
                <w:sz w:val="24"/>
                <w:szCs w:val="24"/>
                <w:lang w:val="vi-VN"/>
              </w:rPr>
              <w:t>doanh nghiệp hoạt động trong lĩnh vực ngân hàng, bảo hiểm, chứng khoán</w:t>
            </w:r>
            <w:bookmarkEnd w:id="2"/>
          </w:p>
        </w:tc>
        <w:tc>
          <w:tcPr>
            <w:tcW w:w="7598" w:type="dxa"/>
          </w:tcPr>
          <w:p w14:paraId="1A35E53C" w14:textId="22F32811" w:rsidR="003171AF" w:rsidRPr="00B63314" w:rsidRDefault="003171AF" w:rsidP="00CC7D8C">
            <w:pPr>
              <w:spacing w:before="120" w:after="120"/>
              <w:jc w:val="both"/>
              <w:rPr>
                <w:rFonts w:cs="Times New Roman"/>
                <w:sz w:val="24"/>
                <w:szCs w:val="24"/>
              </w:rPr>
            </w:pPr>
            <w:bookmarkStart w:id="3" w:name="_Hlk199681528"/>
            <w:r w:rsidRPr="00541424">
              <w:rPr>
                <w:rFonts w:cs="Times New Roman"/>
                <w:sz w:val="24"/>
                <w:szCs w:val="24"/>
              </w:rPr>
              <w:t xml:space="preserve">Lấy số liệu các khoản </w:t>
            </w:r>
            <w:r w:rsidRPr="00541424">
              <w:rPr>
                <w:rFonts w:cs="Times New Roman"/>
                <w:b/>
                <w:bCs/>
                <w:sz w:val="24"/>
                <w:szCs w:val="24"/>
              </w:rPr>
              <w:t xml:space="preserve">Góp vốn, đầu tư dài hạn </w:t>
            </w:r>
            <w:r w:rsidRPr="00541424">
              <w:rPr>
                <w:rFonts w:cs="Times New Roman"/>
                <w:sz w:val="24"/>
                <w:szCs w:val="24"/>
              </w:rPr>
              <w:t xml:space="preserve">và </w:t>
            </w:r>
            <w:r w:rsidRPr="00541424">
              <w:rPr>
                <w:rFonts w:cs="Times New Roman"/>
                <w:b/>
                <w:bCs/>
                <w:sz w:val="24"/>
                <w:szCs w:val="24"/>
              </w:rPr>
              <w:t>Chứng khoán sẵn sàng để bán</w:t>
            </w:r>
            <w:r w:rsidRPr="00541424">
              <w:rPr>
                <w:rFonts w:cs="Times New Roman"/>
                <w:sz w:val="24"/>
                <w:szCs w:val="24"/>
              </w:rPr>
              <w:t xml:space="preserve"> </w:t>
            </w:r>
            <w:r>
              <w:rPr>
                <w:rFonts w:cs="Times New Roman"/>
                <w:sz w:val="24"/>
                <w:szCs w:val="24"/>
              </w:rPr>
              <w:t xml:space="preserve">và </w:t>
            </w:r>
            <w:r w:rsidRPr="00541424">
              <w:rPr>
                <w:rFonts w:cs="Times New Roman"/>
                <w:b/>
                <w:bCs/>
                <w:sz w:val="24"/>
                <w:szCs w:val="24"/>
              </w:rPr>
              <w:t>Chứng khoán kinh doanh</w:t>
            </w:r>
            <w:r>
              <w:rPr>
                <w:rFonts w:cs="Times New Roman"/>
                <w:sz w:val="24"/>
                <w:szCs w:val="24"/>
              </w:rPr>
              <w:t xml:space="preserve"> </w:t>
            </w:r>
            <w:bookmarkStart w:id="4" w:name="_Hlk199681915"/>
            <w:r w:rsidR="004F4BD4">
              <w:rPr>
                <w:rFonts w:cs="Times New Roman"/>
                <w:sz w:val="24"/>
                <w:szCs w:val="24"/>
              </w:rPr>
              <w:t xml:space="preserve">phần chứng khoán vốn </w:t>
            </w:r>
            <w:r w:rsidRPr="00541424">
              <w:rPr>
                <w:rFonts w:cs="Times New Roman"/>
                <w:sz w:val="24"/>
                <w:szCs w:val="24"/>
              </w:rPr>
              <w:t xml:space="preserve">vào các đối tượng là các tổ chức tín dụng khác, công ty con của tổ chức tín dụng khác, doanh nghiệp hoạt động trong lĩnh vực ngân hàng, bảo hiểm, chứng khoán </w:t>
            </w:r>
            <w:bookmarkEnd w:id="4"/>
            <w:r w:rsidRPr="00541424">
              <w:rPr>
                <w:rFonts w:cs="Times New Roman"/>
                <w:sz w:val="24"/>
                <w:szCs w:val="24"/>
              </w:rPr>
              <w:t>trên Báo cáo tình hình tài chính hợp nhất</w:t>
            </w:r>
            <w:r w:rsidRPr="00B63314">
              <w:rPr>
                <w:rFonts w:cs="Times New Roman"/>
                <w:sz w:val="24"/>
                <w:szCs w:val="24"/>
              </w:rPr>
              <w:t xml:space="preserve"> được lập theo số liệu Bảng cân đối tài khoản kế toán của các đối tượng hợp nhất.</w:t>
            </w:r>
            <w:bookmarkEnd w:id="3"/>
          </w:p>
        </w:tc>
      </w:tr>
      <w:tr w:rsidR="003171AF" w:rsidRPr="007F4317" w14:paraId="5242FFA3" w14:textId="77777777" w:rsidTr="00606FDA">
        <w:trPr>
          <w:jc w:val="center"/>
        </w:trPr>
        <w:tc>
          <w:tcPr>
            <w:tcW w:w="992" w:type="dxa"/>
            <w:shd w:val="clear" w:color="auto" w:fill="auto"/>
            <w:vAlign w:val="center"/>
          </w:tcPr>
          <w:p w14:paraId="682C94B9"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(18)</w:t>
            </w:r>
          </w:p>
        </w:tc>
        <w:tc>
          <w:tcPr>
            <w:tcW w:w="5186" w:type="dxa"/>
            <w:shd w:val="clear" w:color="auto" w:fill="auto"/>
            <w:vAlign w:val="center"/>
          </w:tcPr>
          <w:p w14:paraId="1152698E" w14:textId="648859E3" w:rsidR="003171AF" w:rsidRPr="00B63314" w:rsidRDefault="003171AF" w:rsidP="00CC7D8C">
            <w:pPr>
              <w:spacing w:before="120" w:after="120"/>
              <w:jc w:val="both"/>
              <w:rPr>
                <w:rFonts w:cs="Times New Roman"/>
                <w:sz w:val="24"/>
                <w:szCs w:val="24"/>
              </w:rPr>
            </w:pPr>
            <w:r w:rsidRPr="00B63314">
              <w:rPr>
                <w:rFonts w:cs="Times New Roman"/>
                <w:sz w:val="24"/>
                <w:szCs w:val="24"/>
              </w:rPr>
              <w:t>Phần chênh lệch dương giữa</w:t>
            </w:r>
            <w:r w:rsidR="00160DD8">
              <w:rPr>
                <w:rFonts w:cs="Times New Roman"/>
                <w:sz w:val="24"/>
                <w:szCs w:val="24"/>
              </w:rPr>
              <w:t xml:space="preserve"> </w:t>
            </w:r>
            <w:r w:rsidRPr="00B63314">
              <w:rPr>
                <w:rFonts w:cs="Times New Roman"/>
                <w:sz w:val="24"/>
                <w:szCs w:val="24"/>
              </w:rPr>
              <w:t xml:space="preserve">Tài sản </w:t>
            </w:r>
            <w:r w:rsidR="006746E2">
              <w:rPr>
                <w:rFonts w:cs="Times New Roman"/>
                <w:sz w:val="24"/>
                <w:szCs w:val="24"/>
              </w:rPr>
              <w:t xml:space="preserve">cố định </w:t>
            </w:r>
            <w:r w:rsidRPr="00B63314">
              <w:rPr>
                <w:rFonts w:cs="Times New Roman"/>
                <w:sz w:val="24"/>
                <w:szCs w:val="24"/>
              </w:rPr>
              <w:t>vô hình là quyền sử dụng đất và 15% của A11 sau khi trừ đi các khoản phải trừ từ (11) đến (17)</w:t>
            </w:r>
          </w:p>
        </w:tc>
        <w:tc>
          <w:tcPr>
            <w:tcW w:w="7598" w:type="dxa"/>
          </w:tcPr>
          <w:p w14:paraId="21A83917" w14:textId="572A135C" w:rsidR="003171AF" w:rsidRPr="00B63314" w:rsidRDefault="003171AF" w:rsidP="00CC7D8C">
            <w:pPr>
              <w:tabs>
                <w:tab w:val="left" w:pos="276"/>
              </w:tabs>
              <w:spacing w:before="120" w:after="120"/>
              <w:jc w:val="both"/>
              <w:rPr>
                <w:rFonts w:cs="Times New Roman"/>
                <w:sz w:val="24"/>
                <w:szCs w:val="24"/>
              </w:rPr>
            </w:pPr>
            <w:r w:rsidRPr="00B63314">
              <w:rPr>
                <w:rFonts w:cs="Times New Roman"/>
                <w:sz w:val="24"/>
                <w:szCs w:val="24"/>
              </w:rPr>
              <w:t>-</w:t>
            </w:r>
            <w:r w:rsidRPr="00B63314">
              <w:rPr>
                <w:rFonts w:cs="Times New Roman"/>
                <w:sz w:val="24"/>
                <w:szCs w:val="24"/>
              </w:rPr>
              <w:tab/>
              <w:t xml:space="preserve">N1 =  Tài sản </w:t>
            </w:r>
            <w:r w:rsidR="006746E2">
              <w:rPr>
                <w:rFonts w:cs="Times New Roman"/>
                <w:sz w:val="24"/>
                <w:szCs w:val="24"/>
              </w:rPr>
              <w:t xml:space="preserve">cố định </w:t>
            </w:r>
            <w:r w:rsidRPr="00B63314">
              <w:rPr>
                <w:rFonts w:cs="Times New Roman"/>
                <w:sz w:val="24"/>
                <w:szCs w:val="24"/>
              </w:rPr>
              <w:t>vô hình là Quyền sử dụng đất;</w:t>
            </w:r>
          </w:p>
          <w:p w14:paraId="4DA2EC4A" w14:textId="1724D733" w:rsidR="003171AF" w:rsidRPr="00B63314" w:rsidRDefault="003171AF" w:rsidP="00CC7D8C">
            <w:pPr>
              <w:tabs>
                <w:tab w:val="left" w:pos="276"/>
              </w:tabs>
              <w:spacing w:before="120" w:after="120"/>
              <w:jc w:val="both"/>
              <w:rPr>
                <w:rFonts w:cs="Times New Roman"/>
                <w:sz w:val="24"/>
                <w:szCs w:val="24"/>
              </w:rPr>
            </w:pPr>
            <w:r w:rsidRPr="00B63314">
              <w:rPr>
                <w:rFonts w:cs="Times New Roman"/>
                <w:sz w:val="24"/>
                <w:szCs w:val="24"/>
              </w:rPr>
              <w:t>-</w:t>
            </w:r>
            <w:r w:rsidRPr="00B63314">
              <w:rPr>
                <w:rFonts w:cs="Times New Roman"/>
                <w:sz w:val="24"/>
                <w:szCs w:val="24"/>
              </w:rPr>
              <w:tab/>
              <w:t xml:space="preserve">N2 = 15% * </w:t>
            </w:r>
            <w:r w:rsidR="0067417C">
              <w:rPr>
                <w:rFonts w:cs="Times New Roman"/>
                <w:sz w:val="24"/>
                <w:szCs w:val="24"/>
              </w:rPr>
              <w:t>[</w:t>
            </w:r>
            <w:r w:rsidRPr="00B63314">
              <w:rPr>
                <w:rFonts w:cs="Times New Roman"/>
                <w:sz w:val="24"/>
                <w:szCs w:val="24"/>
              </w:rPr>
              <w:t>(A11</w:t>
            </w:r>
            <w:r w:rsidR="0067417C">
              <w:rPr>
                <w:rFonts w:cs="Times New Roman"/>
                <w:sz w:val="24"/>
                <w:szCs w:val="24"/>
              </w:rPr>
              <w:t>)</w:t>
            </w:r>
            <w:r w:rsidRPr="00B63314">
              <w:rPr>
                <w:rFonts w:cs="Times New Roman"/>
                <w:sz w:val="24"/>
                <w:szCs w:val="24"/>
              </w:rPr>
              <w:t xml:space="preserve"> – ∑</w:t>
            </w:r>
            <w:r w:rsidR="0067417C">
              <w:rPr>
                <w:rFonts w:cs="Times New Roman"/>
                <w:sz w:val="24"/>
                <w:szCs w:val="24"/>
              </w:rPr>
              <w:t>(</w:t>
            </w:r>
            <w:r w:rsidRPr="00B63314">
              <w:rPr>
                <w:rFonts w:cs="Times New Roman"/>
                <w:sz w:val="24"/>
                <w:szCs w:val="24"/>
              </w:rPr>
              <w:t>11</w:t>
            </w:r>
            <w:r w:rsidR="0067417C">
              <w:rPr>
                <w:rFonts w:cs="Times New Roman"/>
                <w:sz w:val="24"/>
                <w:szCs w:val="24"/>
              </w:rPr>
              <w:t>)</w:t>
            </w:r>
            <w:r w:rsidRPr="00B63314">
              <w:rPr>
                <w:rFonts w:cs="Times New Roman"/>
                <w:sz w:val="24"/>
                <w:szCs w:val="24"/>
              </w:rPr>
              <w:t xml:space="preserve">÷ </w:t>
            </w:r>
            <w:r w:rsidR="0067417C">
              <w:rPr>
                <w:rFonts w:cs="Times New Roman"/>
                <w:sz w:val="24"/>
                <w:szCs w:val="24"/>
              </w:rPr>
              <w:t>(</w:t>
            </w:r>
            <w:r w:rsidRPr="00160DD8">
              <w:rPr>
                <w:rFonts w:cs="Times New Roman"/>
                <w:sz w:val="24"/>
                <w:szCs w:val="24"/>
              </w:rPr>
              <w:t>1</w:t>
            </w:r>
            <w:r w:rsidR="00413F1B" w:rsidRPr="00160DD8">
              <w:rPr>
                <w:rFonts w:cs="Times New Roman"/>
                <w:sz w:val="24"/>
                <w:szCs w:val="24"/>
              </w:rPr>
              <w:t>7</w:t>
            </w:r>
            <w:r w:rsidRPr="00B63314">
              <w:rPr>
                <w:rFonts w:cs="Times New Roman"/>
                <w:sz w:val="24"/>
                <w:szCs w:val="24"/>
              </w:rPr>
              <w:t>)</w:t>
            </w:r>
            <w:r w:rsidR="0067417C">
              <w:rPr>
                <w:rFonts w:cs="Times New Roman"/>
                <w:sz w:val="24"/>
                <w:szCs w:val="24"/>
              </w:rPr>
              <w:t>]</w:t>
            </w:r>
            <w:r w:rsidRPr="00B63314">
              <w:rPr>
                <w:rFonts w:cs="Times New Roman"/>
                <w:sz w:val="24"/>
                <w:szCs w:val="24"/>
              </w:rPr>
              <w:t>;</w:t>
            </w:r>
          </w:p>
          <w:p w14:paraId="7E4FB0EA" w14:textId="77777777" w:rsidR="003171AF" w:rsidRPr="00B63314" w:rsidRDefault="003171AF" w:rsidP="00CC7D8C">
            <w:pPr>
              <w:tabs>
                <w:tab w:val="left" w:pos="276"/>
              </w:tabs>
              <w:spacing w:before="120" w:after="120"/>
              <w:jc w:val="both"/>
              <w:rPr>
                <w:rFonts w:cs="Times New Roman"/>
                <w:sz w:val="24"/>
                <w:szCs w:val="24"/>
              </w:rPr>
            </w:pPr>
            <w:r w:rsidRPr="00B63314">
              <w:rPr>
                <w:rFonts w:cs="Times New Roman"/>
                <w:sz w:val="24"/>
                <w:szCs w:val="24"/>
              </w:rPr>
              <w:t>-</w:t>
            </w:r>
            <w:r w:rsidRPr="00B63314">
              <w:rPr>
                <w:rFonts w:cs="Times New Roman"/>
                <w:sz w:val="24"/>
                <w:szCs w:val="24"/>
              </w:rPr>
              <w:tab/>
              <w:t>Lấy giá trị N1 – N2 &gt; 0</w:t>
            </w:r>
          </w:p>
        </w:tc>
      </w:tr>
      <w:tr w:rsidR="003171AF" w:rsidRPr="007F4317" w14:paraId="05135B0A" w14:textId="77777777" w:rsidTr="00606FDA">
        <w:trPr>
          <w:jc w:val="center"/>
        </w:trPr>
        <w:tc>
          <w:tcPr>
            <w:tcW w:w="992" w:type="dxa"/>
            <w:shd w:val="clear" w:color="auto" w:fill="auto"/>
            <w:vAlign w:val="center"/>
          </w:tcPr>
          <w:p w14:paraId="6F55E901"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(19)</w:t>
            </w:r>
          </w:p>
        </w:tc>
        <w:tc>
          <w:tcPr>
            <w:tcW w:w="5186" w:type="dxa"/>
            <w:shd w:val="clear" w:color="auto" w:fill="auto"/>
            <w:vAlign w:val="center"/>
          </w:tcPr>
          <w:p w14:paraId="4DD8AE91" w14:textId="7B608DF9"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Phần bù cho giá trị âm của </w:t>
            </w:r>
            <w:r w:rsidR="007E55AB">
              <w:rPr>
                <w:rFonts w:cs="Times New Roman"/>
                <w:sz w:val="24"/>
                <w:szCs w:val="24"/>
              </w:rPr>
              <w:t>Vốn b</w:t>
            </w:r>
            <w:r w:rsidRPr="00B63314">
              <w:rPr>
                <w:rFonts w:cs="Times New Roman"/>
                <w:sz w:val="24"/>
                <w:szCs w:val="24"/>
              </w:rPr>
              <w:t>ổ sung vốn cấp 1</w:t>
            </w:r>
          </w:p>
        </w:tc>
        <w:tc>
          <w:tcPr>
            <w:tcW w:w="7598" w:type="dxa"/>
          </w:tcPr>
          <w:p w14:paraId="0CADDD66" w14:textId="77777777" w:rsidR="003171AF" w:rsidRPr="00B63314" w:rsidRDefault="003171AF" w:rsidP="00CC7D8C">
            <w:pPr>
              <w:spacing w:before="120" w:after="120"/>
              <w:jc w:val="both"/>
              <w:rPr>
                <w:rFonts w:cs="Times New Roman"/>
                <w:sz w:val="24"/>
                <w:szCs w:val="24"/>
              </w:rPr>
            </w:pPr>
            <w:r>
              <w:rPr>
                <w:rFonts w:cs="Times New Roman"/>
                <w:sz w:val="24"/>
                <w:szCs w:val="24"/>
              </w:rPr>
              <w:t xml:space="preserve">Trường hợp A2&lt;0, lấy giá trị giảm trừ là </w:t>
            </w:r>
            <m:oMath>
              <m:d>
                <m:dPr>
                  <m:begChr m:val="|"/>
                  <m:endChr m:val="|"/>
                  <m:ctrlPr>
                    <w:rPr>
                      <w:rFonts w:ascii="Cambria Math" w:hAnsi="Cambria Math" w:cs="Times New Roman"/>
                      <w:i/>
                      <w:sz w:val="24"/>
                      <w:szCs w:val="24"/>
                    </w:rPr>
                  </m:ctrlPr>
                </m:dPr>
                <m:e>
                  <m:r>
                    <w:rPr>
                      <w:rFonts w:ascii="Cambria Math" w:hAnsi="Cambria Math" w:cs="Times New Roman"/>
                      <w:sz w:val="24"/>
                      <w:szCs w:val="24"/>
                    </w:rPr>
                    <m:t>A2</m:t>
                  </m:r>
                </m:e>
              </m:d>
            </m:oMath>
          </w:p>
        </w:tc>
      </w:tr>
      <w:tr w:rsidR="003171AF" w:rsidRPr="007F4317" w14:paraId="295B3DA2" w14:textId="77777777" w:rsidTr="00606FDA">
        <w:trPr>
          <w:jc w:val="center"/>
        </w:trPr>
        <w:tc>
          <w:tcPr>
            <w:tcW w:w="992" w:type="dxa"/>
            <w:shd w:val="clear" w:color="auto" w:fill="auto"/>
            <w:vAlign w:val="center"/>
          </w:tcPr>
          <w:p w14:paraId="52983EF6" w14:textId="77777777" w:rsidR="003171AF" w:rsidRPr="00B63314" w:rsidRDefault="003171AF" w:rsidP="00CC7D8C">
            <w:pPr>
              <w:spacing w:before="120" w:after="120"/>
              <w:jc w:val="center"/>
              <w:rPr>
                <w:rFonts w:cs="Times New Roman"/>
                <w:sz w:val="24"/>
                <w:szCs w:val="24"/>
              </w:rPr>
            </w:pPr>
          </w:p>
        </w:tc>
        <w:tc>
          <w:tcPr>
            <w:tcW w:w="5186" w:type="dxa"/>
            <w:shd w:val="clear" w:color="auto" w:fill="auto"/>
            <w:vAlign w:val="center"/>
          </w:tcPr>
          <w:p w14:paraId="35B44347" w14:textId="4233907A" w:rsidR="003171AF" w:rsidRPr="00B63314" w:rsidRDefault="00381FC7" w:rsidP="00CC7D8C">
            <w:pPr>
              <w:spacing w:before="120" w:after="120"/>
              <w:jc w:val="both"/>
              <w:rPr>
                <w:rFonts w:cs="Times New Roman"/>
                <w:b/>
                <w:bCs/>
                <w:sz w:val="24"/>
                <w:szCs w:val="24"/>
              </w:rPr>
            </w:pPr>
            <w:r>
              <w:rPr>
                <w:rFonts w:cs="Times New Roman"/>
                <w:b/>
                <w:bCs/>
                <w:i/>
                <w:iCs/>
                <w:sz w:val="24"/>
                <w:szCs w:val="24"/>
              </w:rPr>
              <w:t>Vốn b</w:t>
            </w:r>
            <w:r w:rsidR="003171AF" w:rsidRPr="00B63314">
              <w:rPr>
                <w:rFonts w:cs="Times New Roman"/>
                <w:b/>
                <w:bCs/>
                <w:i/>
                <w:iCs/>
                <w:sz w:val="24"/>
                <w:szCs w:val="24"/>
              </w:rPr>
              <w:t>ổ sung vốn cấp 1 hợp nhất (A2)= A21 – A22</w:t>
            </w:r>
          </w:p>
        </w:tc>
        <w:tc>
          <w:tcPr>
            <w:tcW w:w="7598" w:type="dxa"/>
          </w:tcPr>
          <w:p w14:paraId="5F85C173" w14:textId="77777777" w:rsidR="003171AF" w:rsidRPr="00B63314" w:rsidRDefault="003171AF" w:rsidP="00CC7D8C">
            <w:pPr>
              <w:spacing w:before="120" w:after="120"/>
              <w:jc w:val="both"/>
              <w:rPr>
                <w:rFonts w:cs="Times New Roman"/>
                <w:sz w:val="24"/>
                <w:szCs w:val="24"/>
              </w:rPr>
            </w:pPr>
          </w:p>
        </w:tc>
      </w:tr>
      <w:tr w:rsidR="003171AF" w:rsidRPr="007F4317" w14:paraId="5641DEEE" w14:textId="77777777" w:rsidTr="00606FDA">
        <w:trPr>
          <w:jc w:val="center"/>
        </w:trPr>
        <w:tc>
          <w:tcPr>
            <w:tcW w:w="992" w:type="dxa"/>
            <w:shd w:val="clear" w:color="auto" w:fill="auto"/>
            <w:vAlign w:val="center"/>
          </w:tcPr>
          <w:p w14:paraId="2C583610" w14:textId="77777777" w:rsidR="003171AF" w:rsidRPr="00B63314" w:rsidRDefault="003171AF" w:rsidP="00CC7D8C">
            <w:pPr>
              <w:spacing w:before="120" w:after="120"/>
              <w:jc w:val="center"/>
              <w:rPr>
                <w:rFonts w:cs="Times New Roman"/>
                <w:sz w:val="24"/>
                <w:szCs w:val="24"/>
              </w:rPr>
            </w:pPr>
          </w:p>
        </w:tc>
        <w:tc>
          <w:tcPr>
            <w:tcW w:w="5186" w:type="dxa"/>
            <w:shd w:val="clear" w:color="auto" w:fill="auto"/>
            <w:vAlign w:val="center"/>
          </w:tcPr>
          <w:p w14:paraId="4F1EBEDB" w14:textId="4F3A7E72" w:rsidR="003171AF" w:rsidRPr="00B63314" w:rsidRDefault="00D166D8" w:rsidP="00CC7D8C">
            <w:pPr>
              <w:spacing w:before="120" w:after="120"/>
              <w:jc w:val="both"/>
              <w:rPr>
                <w:rFonts w:cs="Times New Roman"/>
                <w:b/>
                <w:bCs/>
                <w:sz w:val="24"/>
                <w:szCs w:val="24"/>
              </w:rPr>
            </w:pPr>
            <w:r>
              <w:rPr>
                <w:rFonts w:cs="Times New Roman"/>
                <w:b/>
                <w:bCs/>
                <w:i/>
                <w:iCs/>
                <w:sz w:val="24"/>
                <w:szCs w:val="24"/>
              </w:rPr>
              <w:t>Vốn b</w:t>
            </w:r>
            <w:r w:rsidR="003171AF" w:rsidRPr="00B63314">
              <w:rPr>
                <w:rFonts w:cs="Times New Roman"/>
                <w:b/>
                <w:bCs/>
                <w:i/>
                <w:iCs/>
                <w:sz w:val="24"/>
                <w:szCs w:val="24"/>
              </w:rPr>
              <w:t>ổ sung vốn cấp 1 hợp nhất chưa giảm trừ (A21)=</w:t>
            </w:r>
            <w:r w:rsidR="003171AF" w:rsidRPr="00B63314">
              <w:rPr>
                <w:rFonts w:cs="Times New Roman"/>
                <w:b/>
                <w:bCs/>
                <w:sz w:val="24"/>
                <w:szCs w:val="24"/>
                <w:lang w:val="pt-BR"/>
              </w:rPr>
              <w:t>∑</w:t>
            </w:r>
            <w:r w:rsidR="00160DD8">
              <w:rPr>
                <w:rFonts w:cs="Times New Roman"/>
                <w:b/>
                <w:bCs/>
                <w:sz w:val="24"/>
                <w:szCs w:val="24"/>
                <w:lang w:val="pt-BR"/>
              </w:rPr>
              <w:t>(</w:t>
            </w:r>
            <w:r w:rsidR="003171AF" w:rsidRPr="00B63314">
              <w:rPr>
                <w:rFonts w:cs="Times New Roman"/>
                <w:b/>
                <w:bCs/>
                <w:sz w:val="24"/>
                <w:szCs w:val="24"/>
                <w:lang w:val="pt-BR"/>
              </w:rPr>
              <w:t>20</w:t>
            </w:r>
            <w:r w:rsidR="00160DD8">
              <w:rPr>
                <w:rFonts w:cs="Times New Roman"/>
                <w:b/>
                <w:bCs/>
                <w:sz w:val="24"/>
                <w:szCs w:val="24"/>
                <w:lang w:val="pt-BR"/>
              </w:rPr>
              <w:t xml:space="preserve">) </w:t>
            </w:r>
            <w:r w:rsidR="003171AF" w:rsidRPr="00B63314">
              <w:rPr>
                <w:rFonts w:cs="Times New Roman"/>
                <w:b/>
                <w:bCs/>
                <w:sz w:val="24"/>
                <w:szCs w:val="24"/>
                <w:lang w:val="pt-BR"/>
              </w:rPr>
              <w:t xml:space="preserve">÷ </w:t>
            </w:r>
            <w:r w:rsidR="00160DD8">
              <w:rPr>
                <w:rFonts w:cs="Times New Roman"/>
                <w:b/>
                <w:bCs/>
                <w:sz w:val="24"/>
                <w:szCs w:val="24"/>
                <w:lang w:val="pt-BR"/>
              </w:rPr>
              <w:t>(</w:t>
            </w:r>
            <w:r w:rsidR="003171AF" w:rsidRPr="00B63314">
              <w:rPr>
                <w:rFonts w:cs="Times New Roman"/>
                <w:b/>
                <w:bCs/>
                <w:sz w:val="24"/>
                <w:szCs w:val="24"/>
                <w:lang w:val="pt-BR"/>
              </w:rPr>
              <w:t>21</w:t>
            </w:r>
            <w:r w:rsidR="00160DD8">
              <w:rPr>
                <w:rFonts w:cs="Times New Roman"/>
                <w:b/>
                <w:bCs/>
                <w:sz w:val="24"/>
                <w:szCs w:val="24"/>
                <w:lang w:val="pt-BR"/>
              </w:rPr>
              <w:t>)</w:t>
            </w:r>
          </w:p>
        </w:tc>
        <w:tc>
          <w:tcPr>
            <w:tcW w:w="7598" w:type="dxa"/>
          </w:tcPr>
          <w:p w14:paraId="698CB67E" w14:textId="77777777" w:rsidR="003171AF" w:rsidRPr="00B63314" w:rsidRDefault="003171AF" w:rsidP="00CC7D8C">
            <w:pPr>
              <w:spacing w:before="120" w:after="120"/>
              <w:jc w:val="both"/>
              <w:rPr>
                <w:rFonts w:cs="Times New Roman"/>
                <w:sz w:val="24"/>
                <w:szCs w:val="24"/>
              </w:rPr>
            </w:pPr>
          </w:p>
        </w:tc>
      </w:tr>
      <w:tr w:rsidR="003171AF" w:rsidRPr="007F4317" w14:paraId="1B60DE13" w14:textId="77777777" w:rsidTr="00606FDA">
        <w:trPr>
          <w:jc w:val="center"/>
        </w:trPr>
        <w:tc>
          <w:tcPr>
            <w:tcW w:w="992" w:type="dxa"/>
            <w:shd w:val="clear" w:color="auto" w:fill="auto"/>
            <w:vAlign w:val="center"/>
          </w:tcPr>
          <w:p w14:paraId="38124487"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(20)</w:t>
            </w:r>
          </w:p>
        </w:tc>
        <w:tc>
          <w:tcPr>
            <w:tcW w:w="5186" w:type="dxa"/>
            <w:shd w:val="clear" w:color="auto" w:fill="auto"/>
            <w:vAlign w:val="center"/>
          </w:tcPr>
          <w:p w14:paraId="2FDBB062" w14:textId="6F00F242" w:rsidR="003171AF" w:rsidRPr="00B63314" w:rsidRDefault="00B56325" w:rsidP="00CC7D8C">
            <w:pPr>
              <w:spacing w:before="120" w:after="120"/>
              <w:jc w:val="both"/>
              <w:rPr>
                <w:rFonts w:cs="Times New Roman"/>
                <w:sz w:val="24"/>
                <w:szCs w:val="24"/>
              </w:rPr>
            </w:pPr>
            <w:r w:rsidRPr="00B56325">
              <w:rPr>
                <w:rFonts w:cs="Times New Roman"/>
                <w:sz w:val="24"/>
                <w:szCs w:val="24"/>
              </w:rPr>
              <w:t xml:space="preserve">Công cụ bổ sung vốn cấp 1 do </w:t>
            </w:r>
            <w:r w:rsidR="00197BB3">
              <w:rPr>
                <w:rFonts w:cs="Times New Roman"/>
                <w:sz w:val="24"/>
                <w:szCs w:val="24"/>
              </w:rPr>
              <w:t xml:space="preserve">chính </w:t>
            </w:r>
            <w:r w:rsidRPr="00B56325">
              <w:rPr>
                <w:rFonts w:cs="Times New Roman"/>
                <w:sz w:val="24"/>
                <w:szCs w:val="24"/>
              </w:rPr>
              <w:t>ngân hàng thương mại phát hành</w:t>
            </w:r>
          </w:p>
        </w:tc>
        <w:tc>
          <w:tcPr>
            <w:tcW w:w="7598" w:type="dxa"/>
          </w:tcPr>
          <w:p w14:paraId="1A0A6211" w14:textId="030F8270" w:rsidR="003171AF" w:rsidRPr="00B63314" w:rsidRDefault="00160DD8" w:rsidP="00F34BEE">
            <w:pPr>
              <w:spacing w:before="120" w:after="120"/>
              <w:jc w:val="both"/>
              <w:rPr>
                <w:rFonts w:cs="Times New Roman"/>
                <w:sz w:val="24"/>
                <w:szCs w:val="24"/>
              </w:rPr>
            </w:pPr>
            <w:r w:rsidRPr="00160DD8">
              <w:rPr>
                <w:rFonts w:cs="Times New Roman"/>
                <w:sz w:val="24"/>
                <w:szCs w:val="24"/>
              </w:rPr>
              <w:t xml:space="preserve">Lấy giá trị các công cụ bổ sung vốn cấp 1 đáp ứng đầy đủ các điều kiện quy định tại </w:t>
            </w:r>
            <w:r w:rsidR="00B56325">
              <w:rPr>
                <w:rFonts w:cs="Times New Roman"/>
                <w:sz w:val="24"/>
                <w:szCs w:val="24"/>
              </w:rPr>
              <w:t xml:space="preserve">Mục </w:t>
            </w:r>
            <w:r w:rsidR="00904DDB">
              <w:rPr>
                <w:rFonts w:cs="Times New Roman"/>
                <w:sz w:val="24"/>
                <w:szCs w:val="24"/>
              </w:rPr>
              <w:t xml:space="preserve">III </w:t>
            </w:r>
            <w:r w:rsidR="00B56325">
              <w:rPr>
                <w:rFonts w:cs="Times New Roman"/>
                <w:sz w:val="24"/>
                <w:szCs w:val="24"/>
              </w:rPr>
              <w:t>Ph</w:t>
            </w:r>
            <w:r w:rsidR="00904DDB">
              <w:rPr>
                <w:rFonts w:cs="Times New Roman"/>
                <w:sz w:val="24"/>
                <w:szCs w:val="24"/>
              </w:rPr>
              <w:t>ần này</w:t>
            </w:r>
          </w:p>
        </w:tc>
      </w:tr>
      <w:tr w:rsidR="003171AF" w:rsidRPr="007F4317" w14:paraId="2969D3CF" w14:textId="77777777" w:rsidTr="00606FDA">
        <w:trPr>
          <w:jc w:val="center"/>
        </w:trPr>
        <w:tc>
          <w:tcPr>
            <w:tcW w:w="992" w:type="dxa"/>
            <w:shd w:val="clear" w:color="auto" w:fill="auto"/>
            <w:vAlign w:val="center"/>
          </w:tcPr>
          <w:p w14:paraId="6E3445B5"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(21)</w:t>
            </w:r>
          </w:p>
        </w:tc>
        <w:tc>
          <w:tcPr>
            <w:tcW w:w="5186" w:type="dxa"/>
            <w:shd w:val="clear" w:color="auto" w:fill="auto"/>
            <w:vAlign w:val="center"/>
          </w:tcPr>
          <w:p w14:paraId="6663238B" w14:textId="533DB04D" w:rsidR="003171AF" w:rsidRPr="00B63314" w:rsidRDefault="00B56325" w:rsidP="00CC7D8C">
            <w:pPr>
              <w:spacing w:before="120" w:after="120"/>
              <w:jc w:val="both"/>
              <w:rPr>
                <w:rFonts w:cs="Times New Roman"/>
                <w:sz w:val="24"/>
                <w:szCs w:val="24"/>
              </w:rPr>
            </w:pPr>
            <w:r w:rsidRPr="00B56325">
              <w:rPr>
                <w:rFonts w:cs="Times New Roman"/>
                <w:sz w:val="24"/>
                <w:szCs w:val="24"/>
              </w:rPr>
              <w:t>Thặng dư vốn cổ phần của các công cụ bổ sung vốn cấp 1</w:t>
            </w:r>
          </w:p>
        </w:tc>
        <w:tc>
          <w:tcPr>
            <w:tcW w:w="7598" w:type="dxa"/>
          </w:tcPr>
          <w:p w14:paraId="04576FD4" w14:textId="72FB621E"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Lấy số liệu </w:t>
            </w:r>
            <w:r w:rsidRPr="00B63314">
              <w:rPr>
                <w:rFonts w:cs="Times New Roman"/>
                <w:b/>
                <w:bCs/>
                <w:sz w:val="24"/>
                <w:szCs w:val="24"/>
              </w:rPr>
              <w:t>Thặng dư vốn cổ phần</w:t>
            </w:r>
            <w:r w:rsidRPr="00B63314">
              <w:rPr>
                <w:rFonts w:cs="Times New Roman"/>
                <w:sz w:val="24"/>
                <w:szCs w:val="24"/>
              </w:rPr>
              <w:t xml:space="preserve"> trên Báo cáo tình hình tài chính hợp nhất (được lập theo số liệu Bảng cân đối tài khoản kế toán của các đối tượng hợp nhất) nhân với tỷ trọng của các loại cổ phần không phải là cổ phần phổ thông</w:t>
            </w:r>
            <w:r w:rsidR="005F43FA">
              <w:rPr>
                <w:rFonts w:cs="Times New Roman"/>
                <w:sz w:val="24"/>
                <w:szCs w:val="24"/>
              </w:rPr>
              <w:t xml:space="preserve"> </w:t>
            </w:r>
            <w:r w:rsidR="005F43FA">
              <w:rPr>
                <w:rFonts w:cs="Times New Roman"/>
                <w:sz w:val="24"/>
                <w:szCs w:val="24"/>
              </w:rPr>
              <w:lastRenderedPageBreak/>
              <w:t xml:space="preserve">và </w:t>
            </w:r>
            <w:r w:rsidR="005F43FA" w:rsidRPr="00FA6BAC">
              <w:rPr>
                <w:rFonts w:cs="Times New Roman"/>
                <w:sz w:val="24"/>
                <w:szCs w:val="24"/>
              </w:rPr>
              <w:t>đáp ứng đầy đủ các điều kiện quy định tạ</w:t>
            </w:r>
            <w:r w:rsidR="005F43FA">
              <w:rPr>
                <w:rFonts w:cs="Times New Roman"/>
                <w:sz w:val="24"/>
                <w:szCs w:val="24"/>
              </w:rPr>
              <w:t xml:space="preserve">i Mục III Phần </w:t>
            </w:r>
            <w:r w:rsidR="005F43FA" w:rsidRPr="00FA6BAC">
              <w:rPr>
                <w:rFonts w:cs="Times New Roman"/>
                <w:sz w:val="24"/>
                <w:szCs w:val="24"/>
              </w:rPr>
              <w:t>này</w:t>
            </w:r>
            <w:r w:rsidRPr="00B63314">
              <w:rPr>
                <w:rFonts w:cs="Times New Roman"/>
                <w:sz w:val="24"/>
                <w:szCs w:val="24"/>
              </w:rPr>
              <w:t xml:space="preserve"> trên tổng số cổ phần.</w:t>
            </w:r>
          </w:p>
        </w:tc>
      </w:tr>
      <w:tr w:rsidR="003171AF" w:rsidRPr="007F4317" w14:paraId="5F108486" w14:textId="77777777" w:rsidTr="00606FDA">
        <w:trPr>
          <w:jc w:val="center"/>
        </w:trPr>
        <w:tc>
          <w:tcPr>
            <w:tcW w:w="992" w:type="dxa"/>
            <w:shd w:val="clear" w:color="auto" w:fill="auto"/>
            <w:vAlign w:val="center"/>
          </w:tcPr>
          <w:p w14:paraId="5BEF8417" w14:textId="77777777" w:rsidR="003171AF" w:rsidRPr="00B63314" w:rsidRDefault="003171AF" w:rsidP="00CC7D8C">
            <w:pPr>
              <w:spacing w:before="120" w:after="120"/>
              <w:jc w:val="center"/>
              <w:rPr>
                <w:rFonts w:cs="Times New Roman"/>
                <w:sz w:val="24"/>
                <w:szCs w:val="24"/>
              </w:rPr>
            </w:pPr>
          </w:p>
        </w:tc>
        <w:tc>
          <w:tcPr>
            <w:tcW w:w="5186" w:type="dxa"/>
            <w:shd w:val="clear" w:color="auto" w:fill="auto"/>
            <w:vAlign w:val="center"/>
          </w:tcPr>
          <w:p w14:paraId="0EAB42AC" w14:textId="5BAD0BB3" w:rsidR="003171AF" w:rsidRPr="00B63314" w:rsidRDefault="003171AF" w:rsidP="00F34BEE">
            <w:pPr>
              <w:spacing w:before="120" w:after="120"/>
              <w:jc w:val="both"/>
              <w:rPr>
                <w:rFonts w:cs="Times New Roman"/>
                <w:i/>
                <w:iCs/>
                <w:sz w:val="24"/>
                <w:szCs w:val="24"/>
              </w:rPr>
            </w:pPr>
            <w:r w:rsidRPr="00B63314">
              <w:rPr>
                <w:rFonts w:cs="Times New Roman"/>
                <w:b/>
                <w:bCs/>
                <w:i/>
                <w:iCs/>
                <w:sz w:val="24"/>
                <w:szCs w:val="24"/>
              </w:rPr>
              <w:t xml:space="preserve">Các khoản giảm trừ khỏi </w:t>
            </w:r>
            <w:r w:rsidR="00381FC7">
              <w:rPr>
                <w:rFonts w:cs="Times New Roman"/>
                <w:b/>
                <w:bCs/>
                <w:i/>
                <w:iCs/>
                <w:sz w:val="24"/>
                <w:szCs w:val="24"/>
              </w:rPr>
              <w:t>Vốn b</w:t>
            </w:r>
            <w:r w:rsidRPr="00B63314">
              <w:rPr>
                <w:rFonts w:cs="Times New Roman"/>
                <w:b/>
                <w:bCs/>
                <w:i/>
                <w:iCs/>
                <w:sz w:val="24"/>
                <w:szCs w:val="24"/>
              </w:rPr>
              <w:t xml:space="preserve">ổ sung </w:t>
            </w:r>
            <w:r w:rsidR="00D166D8">
              <w:rPr>
                <w:rFonts w:cs="Times New Roman"/>
                <w:b/>
                <w:bCs/>
                <w:i/>
                <w:iCs/>
                <w:sz w:val="24"/>
                <w:szCs w:val="24"/>
              </w:rPr>
              <w:t>v</w:t>
            </w:r>
            <w:r w:rsidRPr="00B63314">
              <w:rPr>
                <w:rFonts w:cs="Times New Roman"/>
                <w:b/>
                <w:bCs/>
                <w:i/>
                <w:iCs/>
                <w:sz w:val="24"/>
                <w:szCs w:val="24"/>
              </w:rPr>
              <w:t>ốn cấp 1</w:t>
            </w:r>
            <w:r>
              <w:rPr>
                <w:rFonts w:cs="Times New Roman"/>
                <w:b/>
                <w:bCs/>
                <w:i/>
                <w:iCs/>
                <w:sz w:val="24"/>
                <w:szCs w:val="24"/>
              </w:rPr>
              <w:t xml:space="preserve"> hợp nhất</w:t>
            </w:r>
            <w:r w:rsidRPr="00B63314">
              <w:rPr>
                <w:rFonts w:cs="Times New Roman"/>
                <w:b/>
                <w:bCs/>
                <w:i/>
                <w:iCs/>
                <w:sz w:val="24"/>
                <w:szCs w:val="24"/>
              </w:rPr>
              <w:t xml:space="preserve"> (A22)=</w:t>
            </w:r>
            <w:r w:rsidRPr="00B63314">
              <w:rPr>
                <w:rFonts w:cs="Times New Roman"/>
                <w:b/>
                <w:bCs/>
                <w:sz w:val="24"/>
                <w:szCs w:val="24"/>
                <w:lang w:val="pt-BR"/>
              </w:rPr>
              <w:t xml:space="preserve"> ∑</w:t>
            </w:r>
            <w:r w:rsidR="00160DD8">
              <w:rPr>
                <w:rFonts w:cs="Times New Roman"/>
                <w:b/>
                <w:bCs/>
                <w:sz w:val="24"/>
                <w:szCs w:val="24"/>
                <w:lang w:val="pt-BR"/>
              </w:rPr>
              <w:t>(</w:t>
            </w:r>
            <w:r w:rsidRPr="00B63314">
              <w:rPr>
                <w:rFonts w:cs="Times New Roman"/>
                <w:b/>
                <w:bCs/>
                <w:sz w:val="24"/>
                <w:szCs w:val="24"/>
                <w:lang w:val="pt-BR"/>
              </w:rPr>
              <w:t>22</w:t>
            </w:r>
            <w:r w:rsidR="00160DD8">
              <w:rPr>
                <w:rFonts w:cs="Times New Roman"/>
                <w:b/>
                <w:bCs/>
                <w:sz w:val="24"/>
                <w:szCs w:val="24"/>
                <w:lang w:val="pt-BR"/>
              </w:rPr>
              <w:t xml:space="preserve">) </w:t>
            </w:r>
            <w:r w:rsidRPr="00B63314">
              <w:rPr>
                <w:rFonts w:cs="Times New Roman"/>
                <w:b/>
                <w:bCs/>
                <w:sz w:val="24"/>
                <w:szCs w:val="24"/>
                <w:lang w:val="pt-BR"/>
              </w:rPr>
              <w:t xml:space="preserve">÷ </w:t>
            </w:r>
            <w:r w:rsidR="00160DD8">
              <w:rPr>
                <w:rFonts w:cs="Times New Roman"/>
                <w:b/>
                <w:bCs/>
                <w:sz w:val="24"/>
                <w:szCs w:val="24"/>
                <w:lang w:val="pt-BR"/>
              </w:rPr>
              <w:t>(</w:t>
            </w:r>
            <w:r w:rsidRPr="00B63314">
              <w:rPr>
                <w:rFonts w:cs="Times New Roman"/>
                <w:b/>
                <w:bCs/>
                <w:sz w:val="24"/>
                <w:szCs w:val="24"/>
                <w:lang w:val="pt-BR"/>
              </w:rPr>
              <w:t>2</w:t>
            </w:r>
            <w:r w:rsidR="000F0C84">
              <w:rPr>
                <w:rFonts w:cs="Times New Roman"/>
                <w:b/>
                <w:bCs/>
                <w:sz w:val="24"/>
                <w:szCs w:val="24"/>
                <w:lang w:val="pt-BR"/>
              </w:rPr>
              <w:t>3</w:t>
            </w:r>
            <w:r w:rsidR="00160DD8">
              <w:rPr>
                <w:rFonts w:cs="Times New Roman"/>
                <w:b/>
                <w:bCs/>
                <w:sz w:val="24"/>
                <w:szCs w:val="24"/>
                <w:lang w:val="pt-BR"/>
              </w:rPr>
              <w:t>)</w:t>
            </w:r>
          </w:p>
        </w:tc>
        <w:tc>
          <w:tcPr>
            <w:tcW w:w="7598" w:type="dxa"/>
          </w:tcPr>
          <w:p w14:paraId="5B296B91" w14:textId="77777777" w:rsidR="003171AF" w:rsidRPr="00B63314" w:rsidRDefault="003171AF" w:rsidP="00CC7D8C">
            <w:pPr>
              <w:spacing w:before="120" w:after="120"/>
              <w:jc w:val="both"/>
              <w:rPr>
                <w:rFonts w:cs="Times New Roman"/>
                <w:sz w:val="24"/>
                <w:szCs w:val="24"/>
              </w:rPr>
            </w:pPr>
          </w:p>
        </w:tc>
      </w:tr>
      <w:tr w:rsidR="003171AF" w:rsidRPr="007F4317" w14:paraId="4E5BB23A" w14:textId="77777777" w:rsidTr="00606FDA">
        <w:trPr>
          <w:jc w:val="center"/>
        </w:trPr>
        <w:tc>
          <w:tcPr>
            <w:tcW w:w="992" w:type="dxa"/>
            <w:shd w:val="clear" w:color="auto" w:fill="auto"/>
            <w:vAlign w:val="center"/>
          </w:tcPr>
          <w:p w14:paraId="17B8E345" w14:textId="77777777" w:rsidR="003171AF" w:rsidRPr="00B63314" w:rsidRDefault="003171AF" w:rsidP="00CC7D8C">
            <w:pPr>
              <w:spacing w:before="120" w:after="120"/>
              <w:jc w:val="center"/>
              <w:rPr>
                <w:rFonts w:cs="Times New Roman"/>
                <w:sz w:val="24"/>
                <w:szCs w:val="24"/>
              </w:rPr>
            </w:pPr>
            <w:r w:rsidRPr="00B63314">
              <w:rPr>
                <w:rFonts w:cs="Times New Roman"/>
                <w:sz w:val="24"/>
                <w:szCs w:val="24"/>
              </w:rPr>
              <w:t>(22)</w:t>
            </w:r>
          </w:p>
        </w:tc>
        <w:tc>
          <w:tcPr>
            <w:tcW w:w="5186" w:type="dxa"/>
            <w:shd w:val="clear" w:color="auto" w:fill="auto"/>
            <w:vAlign w:val="center"/>
          </w:tcPr>
          <w:p w14:paraId="2AF398B2" w14:textId="64CCCB8F" w:rsidR="003171AF" w:rsidRPr="00B63314" w:rsidRDefault="00BA6B44" w:rsidP="00CC7D8C">
            <w:pPr>
              <w:spacing w:before="120" w:after="120"/>
              <w:jc w:val="both"/>
              <w:rPr>
                <w:rFonts w:cs="Times New Roman"/>
                <w:sz w:val="24"/>
                <w:szCs w:val="24"/>
              </w:rPr>
            </w:pPr>
            <w:r w:rsidRPr="00B63314">
              <w:rPr>
                <w:rFonts w:cs="Times New Roman"/>
                <w:sz w:val="24"/>
                <w:szCs w:val="24"/>
              </w:rPr>
              <w:t xml:space="preserve">Mua lại công cụ </w:t>
            </w:r>
            <w:r w:rsidRPr="006706B9">
              <w:rPr>
                <w:rFonts w:cs="Times New Roman"/>
                <w:sz w:val="24"/>
                <w:szCs w:val="24"/>
              </w:rPr>
              <w:t xml:space="preserve">bổ sung vốn cấp 1 do </w:t>
            </w:r>
            <w:r w:rsidR="00197BB3">
              <w:rPr>
                <w:rFonts w:cs="Times New Roman"/>
                <w:sz w:val="24"/>
                <w:szCs w:val="24"/>
              </w:rPr>
              <w:t xml:space="preserve">chính </w:t>
            </w:r>
            <w:r w:rsidRPr="006706B9">
              <w:rPr>
                <w:rFonts w:cs="Times New Roman"/>
                <w:sz w:val="24"/>
                <w:szCs w:val="24"/>
              </w:rPr>
              <w:t>ngân hàng thương mại phát hành</w:t>
            </w:r>
          </w:p>
        </w:tc>
        <w:tc>
          <w:tcPr>
            <w:tcW w:w="7598" w:type="dxa"/>
          </w:tcPr>
          <w:p w14:paraId="286DB6A8" w14:textId="289321EF" w:rsidR="004F4BD4" w:rsidRPr="004F4BD4" w:rsidRDefault="004F4BD4" w:rsidP="00606FDA">
            <w:pPr>
              <w:tabs>
                <w:tab w:val="left" w:pos="233"/>
              </w:tabs>
              <w:spacing w:before="120" w:after="120"/>
              <w:jc w:val="both"/>
              <w:rPr>
                <w:rFonts w:cs="Times New Roman"/>
                <w:sz w:val="24"/>
                <w:szCs w:val="24"/>
              </w:rPr>
            </w:pPr>
            <w:r w:rsidRPr="004F4BD4">
              <w:rPr>
                <w:rFonts w:cs="Times New Roman"/>
                <w:sz w:val="24"/>
                <w:szCs w:val="24"/>
              </w:rPr>
              <w:t>Lấy số liệu</w:t>
            </w:r>
            <w:r w:rsidR="00F64AD4">
              <w:rPr>
                <w:rFonts w:cs="Times New Roman"/>
                <w:sz w:val="24"/>
                <w:szCs w:val="24"/>
              </w:rPr>
              <w:t xml:space="preserve"> tổng</w:t>
            </w:r>
            <w:r w:rsidRPr="004F4BD4">
              <w:rPr>
                <w:rFonts w:cs="Times New Roman"/>
                <w:sz w:val="24"/>
                <w:szCs w:val="24"/>
              </w:rPr>
              <w:t xml:space="preserve"> của:</w:t>
            </w:r>
          </w:p>
          <w:p w14:paraId="4C279267" w14:textId="78B638F3" w:rsidR="009947D0" w:rsidRPr="004F4BD4" w:rsidRDefault="004F4BD4" w:rsidP="00606FDA">
            <w:pPr>
              <w:tabs>
                <w:tab w:val="left" w:pos="233"/>
              </w:tabs>
              <w:spacing w:before="120" w:after="120"/>
              <w:jc w:val="both"/>
              <w:rPr>
                <w:rFonts w:cs="Times New Roman"/>
                <w:sz w:val="24"/>
                <w:szCs w:val="24"/>
              </w:rPr>
            </w:pPr>
            <w:r w:rsidRPr="004F4BD4">
              <w:rPr>
                <w:rFonts w:cs="Times New Roman"/>
                <w:sz w:val="24"/>
                <w:szCs w:val="24"/>
              </w:rPr>
              <w:t>-</w:t>
            </w:r>
            <w:r w:rsidRPr="004F4BD4">
              <w:rPr>
                <w:rFonts w:cs="Times New Roman"/>
                <w:sz w:val="24"/>
                <w:szCs w:val="24"/>
              </w:rPr>
              <w:tab/>
            </w:r>
            <w:r w:rsidRPr="004F4BD4">
              <w:rPr>
                <w:rFonts w:cs="Times New Roman"/>
                <w:b/>
                <w:bCs/>
                <w:sz w:val="24"/>
                <w:szCs w:val="24"/>
              </w:rPr>
              <w:t>Cổ phiếu quỹ</w:t>
            </w:r>
            <w:r w:rsidRPr="004F4BD4">
              <w:rPr>
                <w:rFonts w:cs="Times New Roman"/>
                <w:sz w:val="24"/>
                <w:szCs w:val="24"/>
              </w:rPr>
              <w:t xml:space="preserve"> trên </w:t>
            </w:r>
            <w:r w:rsidRPr="00B63314">
              <w:rPr>
                <w:rFonts w:cs="Times New Roman"/>
                <w:sz w:val="24"/>
                <w:szCs w:val="24"/>
              </w:rPr>
              <w:t>Báo cáo tình hình tài chính hợp nhất (được lập theo số liệu Bảng cân đối tài khoản kế toán của các đối tượng hợp nhất) nhân với tỷ trọng của các loại cổ phần</w:t>
            </w:r>
            <w:r w:rsidR="005F578B">
              <w:rPr>
                <w:rFonts w:cs="Times New Roman"/>
                <w:sz w:val="24"/>
                <w:szCs w:val="24"/>
              </w:rPr>
              <w:t xml:space="preserve"> </w:t>
            </w:r>
            <w:r w:rsidRPr="00B63314">
              <w:rPr>
                <w:rFonts w:cs="Times New Roman"/>
                <w:sz w:val="24"/>
                <w:szCs w:val="24"/>
              </w:rPr>
              <w:t>không phải là cổ phần phổ thông</w:t>
            </w:r>
            <w:r w:rsidR="00F64AD4">
              <w:rPr>
                <w:rFonts w:cs="Times New Roman"/>
                <w:sz w:val="24"/>
                <w:szCs w:val="24"/>
              </w:rPr>
              <w:t xml:space="preserve"> </w:t>
            </w:r>
            <w:r w:rsidR="005F578B">
              <w:rPr>
                <w:rFonts w:cs="Times New Roman"/>
                <w:sz w:val="24"/>
                <w:szCs w:val="24"/>
              </w:rPr>
              <w:t xml:space="preserve">và </w:t>
            </w:r>
            <w:r w:rsidR="00F64AD4">
              <w:rPr>
                <w:rFonts w:cs="Times New Roman"/>
                <w:sz w:val="24"/>
                <w:szCs w:val="24"/>
              </w:rPr>
              <w:t xml:space="preserve">đáp ứng </w:t>
            </w:r>
            <w:r w:rsidR="00F64AD4" w:rsidRPr="00FA6BAC">
              <w:rPr>
                <w:rFonts w:cs="Times New Roman"/>
                <w:sz w:val="24"/>
                <w:szCs w:val="24"/>
              </w:rPr>
              <w:t xml:space="preserve">đáp ứng đầy đủ các điều kiện quy định tại </w:t>
            </w:r>
            <w:r w:rsidR="00F64AD4">
              <w:rPr>
                <w:rFonts w:cs="Times New Roman"/>
                <w:sz w:val="24"/>
                <w:szCs w:val="24"/>
              </w:rPr>
              <w:t>M</w:t>
            </w:r>
            <w:r w:rsidR="00F64AD4" w:rsidRPr="00EC2FCE">
              <w:rPr>
                <w:rFonts w:cs="Times New Roman"/>
                <w:sz w:val="24"/>
                <w:szCs w:val="24"/>
              </w:rPr>
              <w:t xml:space="preserve">ục III </w:t>
            </w:r>
            <w:r w:rsidR="00F64AD4">
              <w:rPr>
                <w:rFonts w:cs="Times New Roman"/>
                <w:sz w:val="24"/>
                <w:szCs w:val="24"/>
              </w:rPr>
              <w:t>P</w:t>
            </w:r>
            <w:r w:rsidR="00F64AD4" w:rsidRPr="00EC2FCE">
              <w:rPr>
                <w:rFonts w:cs="Times New Roman"/>
                <w:sz w:val="24"/>
                <w:szCs w:val="24"/>
              </w:rPr>
              <w:t>hần này</w:t>
            </w:r>
            <w:r w:rsidRPr="00B63314">
              <w:rPr>
                <w:rFonts w:cs="Times New Roman"/>
                <w:sz w:val="24"/>
                <w:szCs w:val="24"/>
              </w:rPr>
              <w:t xml:space="preserve"> trên tổng số cổ phần</w:t>
            </w:r>
            <w:r w:rsidR="00F64AD4">
              <w:rPr>
                <w:rFonts w:cs="Times New Roman"/>
                <w:sz w:val="24"/>
                <w:szCs w:val="24"/>
              </w:rPr>
              <w:t>.</w:t>
            </w:r>
          </w:p>
          <w:p w14:paraId="5E35BB34" w14:textId="38C3EAED" w:rsidR="003171AF" w:rsidRPr="00606FDA" w:rsidRDefault="00BA6B44" w:rsidP="00606FDA">
            <w:pPr>
              <w:pStyle w:val="ListParagraph"/>
              <w:numPr>
                <w:ilvl w:val="0"/>
                <w:numId w:val="3"/>
              </w:numPr>
              <w:tabs>
                <w:tab w:val="left" w:pos="233"/>
              </w:tabs>
              <w:spacing w:before="120" w:after="120"/>
              <w:ind w:left="0" w:firstLine="0"/>
              <w:jc w:val="both"/>
              <w:rPr>
                <w:rFonts w:cs="Times New Roman"/>
                <w:sz w:val="24"/>
                <w:szCs w:val="24"/>
              </w:rPr>
            </w:pPr>
            <w:r w:rsidRPr="00606FDA">
              <w:rPr>
                <w:rFonts w:cs="Times New Roman"/>
                <w:sz w:val="24"/>
                <w:szCs w:val="24"/>
              </w:rPr>
              <w:t xml:space="preserve">Giá trị các công cụ bổ sung vốn cấp 1 </w:t>
            </w:r>
            <w:r w:rsidR="004B6980" w:rsidRPr="00A52465">
              <w:rPr>
                <w:rFonts w:cs="Times New Roman"/>
                <w:sz w:val="24"/>
                <w:szCs w:val="24"/>
              </w:rPr>
              <w:t>do chính ngân hàng thương mại phát hành</w:t>
            </w:r>
            <w:r w:rsidR="004B6980" w:rsidRPr="009947D0">
              <w:rPr>
                <w:rFonts w:cs="Times New Roman"/>
                <w:sz w:val="24"/>
                <w:szCs w:val="24"/>
              </w:rPr>
              <w:t xml:space="preserve"> </w:t>
            </w:r>
            <w:r w:rsidRPr="00606FDA">
              <w:rPr>
                <w:rFonts w:cs="Times New Roman"/>
                <w:sz w:val="24"/>
                <w:szCs w:val="24"/>
              </w:rPr>
              <w:t xml:space="preserve">đáp ứng đầy đủ các điều kiện quy định tại Mục III Phần này (không phải cổ phiếu) được </w:t>
            </w:r>
            <w:r w:rsidR="004B6980">
              <w:rPr>
                <w:rFonts w:cs="Times New Roman"/>
                <w:sz w:val="24"/>
                <w:szCs w:val="24"/>
              </w:rPr>
              <w:t xml:space="preserve">ngân hàng </w:t>
            </w:r>
            <w:r w:rsidRPr="00606FDA">
              <w:rPr>
                <w:rFonts w:cs="Times New Roman"/>
                <w:sz w:val="24"/>
                <w:szCs w:val="24"/>
              </w:rPr>
              <w:t>mua lại.</w:t>
            </w:r>
          </w:p>
        </w:tc>
      </w:tr>
      <w:tr w:rsidR="003171AF" w:rsidRPr="007F4317" w14:paraId="36FCCCBF" w14:textId="77777777" w:rsidTr="00606FDA">
        <w:trPr>
          <w:jc w:val="center"/>
        </w:trPr>
        <w:tc>
          <w:tcPr>
            <w:tcW w:w="992" w:type="dxa"/>
            <w:shd w:val="clear" w:color="auto" w:fill="auto"/>
            <w:vAlign w:val="center"/>
          </w:tcPr>
          <w:p w14:paraId="274F6C0D" w14:textId="4F185AD7" w:rsidR="003171AF" w:rsidRPr="00B63314" w:rsidRDefault="003171AF" w:rsidP="00F34BEE">
            <w:pPr>
              <w:spacing w:before="120" w:after="120"/>
              <w:jc w:val="center"/>
              <w:rPr>
                <w:rFonts w:cs="Times New Roman"/>
                <w:sz w:val="24"/>
                <w:szCs w:val="24"/>
              </w:rPr>
            </w:pPr>
            <w:r w:rsidRPr="00B63314">
              <w:rPr>
                <w:rFonts w:cs="Times New Roman"/>
                <w:sz w:val="24"/>
                <w:szCs w:val="24"/>
              </w:rPr>
              <w:t>(</w:t>
            </w:r>
            <w:r w:rsidR="009947D0" w:rsidRPr="00B63314">
              <w:rPr>
                <w:rFonts w:cs="Times New Roman"/>
                <w:sz w:val="24"/>
                <w:szCs w:val="24"/>
              </w:rPr>
              <w:t>2</w:t>
            </w:r>
            <w:r w:rsidR="009947D0">
              <w:rPr>
                <w:rFonts w:cs="Times New Roman"/>
                <w:sz w:val="24"/>
                <w:szCs w:val="24"/>
              </w:rPr>
              <w:t>3</w:t>
            </w:r>
            <w:r w:rsidRPr="00B63314">
              <w:rPr>
                <w:rFonts w:cs="Times New Roman"/>
                <w:sz w:val="24"/>
                <w:szCs w:val="24"/>
              </w:rPr>
              <w:t>)</w:t>
            </w:r>
          </w:p>
        </w:tc>
        <w:tc>
          <w:tcPr>
            <w:tcW w:w="5186" w:type="dxa"/>
            <w:shd w:val="clear" w:color="auto" w:fill="auto"/>
            <w:vAlign w:val="center"/>
          </w:tcPr>
          <w:p w14:paraId="2CF0E45F" w14:textId="77777777" w:rsidR="003171AF" w:rsidRPr="00B63314" w:rsidRDefault="003171AF" w:rsidP="00CC7D8C">
            <w:pPr>
              <w:spacing w:before="120" w:after="120"/>
              <w:jc w:val="both"/>
              <w:rPr>
                <w:rFonts w:cs="Times New Roman"/>
                <w:b/>
                <w:bCs/>
                <w:sz w:val="24"/>
                <w:szCs w:val="24"/>
              </w:rPr>
            </w:pPr>
            <w:r w:rsidRPr="00B63314">
              <w:rPr>
                <w:rFonts w:cs="Times New Roman"/>
                <w:sz w:val="24"/>
                <w:szCs w:val="24"/>
              </w:rPr>
              <w:t>Phần bù cho giá trị âm của Vốn cấp 2</w:t>
            </w:r>
          </w:p>
        </w:tc>
        <w:tc>
          <w:tcPr>
            <w:tcW w:w="7598" w:type="dxa"/>
          </w:tcPr>
          <w:p w14:paraId="3075EC73" w14:textId="77777777" w:rsidR="003171AF" w:rsidRPr="00B63314" w:rsidRDefault="003171AF" w:rsidP="00CC7D8C">
            <w:pPr>
              <w:spacing w:before="120" w:after="120"/>
              <w:jc w:val="both"/>
              <w:rPr>
                <w:rFonts w:cs="Times New Roman"/>
                <w:sz w:val="24"/>
                <w:szCs w:val="24"/>
              </w:rPr>
            </w:pPr>
            <w:r>
              <w:rPr>
                <w:rFonts w:cs="Times New Roman"/>
                <w:sz w:val="24"/>
                <w:szCs w:val="24"/>
              </w:rPr>
              <w:t xml:space="preserve">Trường hợp B&lt;0, lấy giá trị giảm trừ là </w:t>
            </w:r>
            <m:oMath>
              <m:d>
                <m:dPr>
                  <m:begChr m:val="|"/>
                  <m:endChr m:val="|"/>
                  <m:ctrlPr>
                    <w:rPr>
                      <w:rFonts w:ascii="Cambria Math" w:hAnsi="Cambria Math" w:cs="Times New Roman"/>
                      <w:i/>
                      <w:sz w:val="24"/>
                      <w:szCs w:val="24"/>
                    </w:rPr>
                  </m:ctrlPr>
                </m:dPr>
                <m:e>
                  <m:r>
                    <w:rPr>
                      <w:rFonts w:ascii="Cambria Math" w:hAnsi="Cambria Math" w:cs="Times New Roman"/>
                      <w:sz w:val="24"/>
                      <w:szCs w:val="24"/>
                    </w:rPr>
                    <m:t>B</m:t>
                  </m:r>
                </m:e>
              </m:d>
            </m:oMath>
          </w:p>
        </w:tc>
      </w:tr>
      <w:tr w:rsidR="003171AF" w:rsidRPr="007F4317" w14:paraId="60FB53B4" w14:textId="77777777" w:rsidTr="00606FDA">
        <w:trPr>
          <w:jc w:val="center"/>
        </w:trPr>
        <w:tc>
          <w:tcPr>
            <w:tcW w:w="992" w:type="dxa"/>
            <w:shd w:val="clear" w:color="auto" w:fill="auto"/>
            <w:vAlign w:val="center"/>
          </w:tcPr>
          <w:p w14:paraId="1B47947B" w14:textId="77777777" w:rsidR="003171AF" w:rsidRPr="00B63314" w:rsidRDefault="003171AF" w:rsidP="00CC7D8C">
            <w:pPr>
              <w:spacing w:before="120" w:after="120"/>
              <w:jc w:val="center"/>
              <w:rPr>
                <w:rFonts w:cs="Times New Roman"/>
                <w:sz w:val="24"/>
                <w:szCs w:val="24"/>
              </w:rPr>
            </w:pPr>
          </w:p>
        </w:tc>
        <w:tc>
          <w:tcPr>
            <w:tcW w:w="5186" w:type="dxa"/>
            <w:shd w:val="clear" w:color="auto" w:fill="auto"/>
            <w:vAlign w:val="center"/>
          </w:tcPr>
          <w:p w14:paraId="2417E50A" w14:textId="77777777" w:rsidR="003171AF" w:rsidRPr="00B63314" w:rsidRDefault="003171AF" w:rsidP="00CC7D8C">
            <w:pPr>
              <w:spacing w:before="120" w:after="120"/>
              <w:jc w:val="both"/>
              <w:rPr>
                <w:rFonts w:cs="Times New Roman"/>
                <w:b/>
                <w:bCs/>
                <w:sz w:val="24"/>
                <w:szCs w:val="24"/>
              </w:rPr>
            </w:pPr>
            <w:r w:rsidRPr="00B63314">
              <w:rPr>
                <w:rFonts w:cs="Times New Roman"/>
                <w:b/>
                <w:bCs/>
                <w:sz w:val="24"/>
                <w:szCs w:val="24"/>
              </w:rPr>
              <w:t>VỐN CẤP 2 HỢP NHẤT (B) = B1 – B2</w:t>
            </w:r>
          </w:p>
        </w:tc>
        <w:tc>
          <w:tcPr>
            <w:tcW w:w="7598" w:type="dxa"/>
          </w:tcPr>
          <w:p w14:paraId="43BA6682" w14:textId="77777777" w:rsidR="003171AF" w:rsidRPr="00B63314" w:rsidRDefault="003171AF" w:rsidP="00CC7D8C">
            <w:pPr>
              <w:spacing w:before="120" w:after="120"/>
              <w:jc w:val="both"/>
              <w:rPr>
                <w:rFonts w:cs="Times New Roman"/>
                <w:sz w:val="24"/>
                <w:szCs w:val="24"/>
              </w:rPr>
            </w:pPr>
          </w:p>
        </w:tc>
      </w:tr>
      <w:tr w:rsidR="003171AF" w:rsidRPr="007F4317" w14:paraId="6F8193EC" w14:textId="77777777" w:rsidTr="00606FDA">
        <w:trPr>
          <w:jc w:val="center"/>
        </w:trPr>
        <w:tc>
          <w:tcPr>
            <w:tcW w:w="992" w:type="dxa"/>
            <w:shd w:val="clear" w:color="auto" w:fill="auto"/>
            <w:vAlign w:val="center"/>
          </w:tcPr>
          <w:p w14:paraId="24C70F5D" w14:textId="77777777" w:rsidR="003171AF" w:rsidRPr="00B63314" w:rsidRDefault="003171AF" w:rsidP="00CC7D8C">
            <w:pPr>
              <w:spacing w:before="120" w:after="120"/>
              <w:jc w:val="center"/>
              <w:rPr>
                <w:rFonts w:cs="Times New Roman"/>
                <w:i/>
                <w:iCs/>
                <w:sz w:val="24"/>
                <w:szCs w:val="24"/>
              </w:rPr>
            </w:pPr>
          </w:p>
        </w:tc>
        <w:tc>
          <w:tcPr>
            <w:tcW w:w="5186" w:type="dxa"/>
            <w:shd w:val="clear" w:color="auto" w:fill="auto"/>
            <w:vAlign w:val="center"/>
          </w:tcPr>
          <w:p w14:paraId="03A516A4" w14:textId="77777777" w:rsidR="003171AF" w:rsidRDefault="003171AF" w:rsidP="00CC7D8C">
            <w:pPr>
              <w:spacing w:before="120" w:after="120"/>
              <w:jc w:val="both"/>
              <w:rPr>
                <w:rFonts w:cs="Times New Roman"/>
                <w:b/>
                <w:bCs/>
                <w:i/>
                <w:iCs/>
                <w:sz w:val="24"/>
                <w:szCs w:val="24"/>
              </w:rPr>
            </w:pPr>
            <w:r w:rsidRPr="00B63314">
              <w:rPr>
                <w:rFonts w:cs="Times New Roman"/>
                <w:b/>
                <w:bCs/>
                <w:i/>
                <w:iCs/>
                <w:sz w:val="24"/>
                <w:szCs w:val="24"/>
              </w:rPr>
              <w:t xml:space="preserve">Vốn cấp 2 hợp nhất chưa giảm trừ </w:t>
            </w:r>
          </w:p>
          <w:p w14:paraId="6F62395D" w14:textId="5F254D93" w:rsidR="003171AF" w:rsidRPr="00B63314" w:rsidRDefault="003171AF" w:rsidP="00F34BEE">
            <w:pPr>
              <w:spacing w:before="120" w:after="120"/>
              <w:jc w:val="both"/>
              <w:rPr>
                <w:rFonts w:cs="Times New Roman"/>
                <w:b/>
                <w:bCs/>
                <w:i/>
                <w:iCs/>
                <w:sz w:val="24"/>
                <w:szCs w:val="24"/>
              </w:rPr>
            </w:pPr>
            <w:r w:rsidRPr="00B63314">
              <w:rPr>
                <w:rFonts w:cs="Times New Roman"/>
                <w:b/>
                <w:bCs/>
                <w:i/>
                <w:iCs/>
                <w:sz w:val="24"/>
                <w:szCs w:val="24"/>
              </w:rPr>
              <w:t>(B1)=</w:t>
            </w:r>
            <w:r w:rsidRPr="00B63314">
              <w:rPr>
                <w:rFonts w:cs="Times New Roman"/>
                <w:b/>
                <w:bCs/>
                <w:i/>
                <w:iCs/>
                <w:sz w:val="24"/>
                <w:szCs w:val="24"/>
                <w:lang w:val="pt-BR"/>
              </w:rPr>
              <w:t xml:space="preserve"> ∑</w:t>
            </w:r>
            <w:r w:rsidR="00160DD8">
              <w:rPr>
                <w:rFonts w:cs="Times New Roman"/>
                <w:b/>
                <w:bCs/>
                <w:i/>
                <w:iCs/>
                <w:sz w:val="24"/>
                <w:szCs w:val="24"/>
                <w:lang w:val="pt-BR"/>
              </w:rPr>
              <w:t>(</w:t>
            </w:r>
            <w:r w:rsidR="000F0C84" w:rsidRPr="00B63314">
              <w:rPr>
                <w:rFonts w:cs="Times New Roman"/>
                <w:b/>
                <w:bCs/>
                <w:i/>
                <w:iCs/>
                <w:sz w:val="24"/>
                <w:szCs w:val="24"/>
                <w:lang w:val="pt-BR"/>
              </w:rPr>
              <w:t>2</w:t>
            </w:r>
            <w:r w:rsidR="000F0C84">
              <w:rPr>
                <w:rFonts w:cs="Times New Roman"/>
                <w:b/>
                <w:bCs/>
                <w:i/>
                <w:iCs/>
                <w:sz w:val="24"/>
                <w:szCs w:val="24"/>
                <w:lang w:val="pt-BR"/>
              </w:rPr>
              <w:t>4</w:t>
            </w:r>
            <w:r w:rsidR="00160DD8">
              <w:rPr>
                <w:rFonts w:cs="Times New Roman"/>
                <w:b/>
                <w:bCs/>
                <w:i/>
                <w:iCs/>
                <w:sz w:val="24"/>
                <w:szCs w:val="24"/>
                <w:lang w:val="pt-BR"/>
              </w:rPr>
              <w:t xml:space="preserve">) </w:t>
            </w:r>
            <w:r w:rsidRPr="00B63314">
              <w:rPr>
                <w:rFonts w:cs="Times New Roman"/>
                <w:b/>
                <w:bCs/>
                <w:i/>
                <w:iCs/>
                <w:sz w:val="24"/>
                <w:szCs w:val="24"/>
                <w:lang w:val="pt-BR"/>
              </w:rPr>
              <w:t>÷</w:t>
            </w:r>
            <w:r w:rsidR="00160DD8">
              <w:rPr>
                <w:rFonts w:cs="Times New Roman"/>
                <w:b/>
                <w:bCs/>
                <w:i/>
                <w:iCs/>
                <w:sz w:val="24"/>
                <w:szCs w:val="24"/>
                <w:lang w:val="pt-BR"/>
              </w:rPr>
              <w:t xml:space="preserve"> (</w:t>
            </w:r>
            <w:r w:rsidR="000F0C84" w:rsidRPr="00B63314">
              <w:rPr>
                <w:rFonts w:cs="Times New Roman"/>
                <w:b/>
                <w:bCs/>
                <w:i/>
                <w:iCs/>
                <w:sz w:val="24"/>
                <w:szCs w:val="24"/>
                <w:lang w:val="pt-BR"/>
              </w:rPr>
              <w:t>2</w:t>
            </w:r>
            <w:r w:rsidR="000F0C84">
              <w:rPr>
                <w:rFonts w:cs="Times New Roman"/>
                <w:b/>
                <w:bCs/>
                <w:i/>
                <w:iCs/>
                <w:sz w:val="24"/>
                <w:szCs w:val="24"/>
                <w:lang w:val="pt-BR"/>
              </w:rPr>
              <w:t>7</w:t>
            </w:r>
            <w:r w:rsidR="00160DD8">
              <w:rPr>
                <w:rFonts w:cs="Times New Roman"/>
                <w:b/>
                <w:bCs/>
                <w:i/>
                <w:iCs/>
                <w:sz w:val="24"/>
                <w:szCs w:val="24"/>
                <w:lang w:val="pt-BR"/>
              </w:rPr>
              <w:t>)</w:t>
            </w:r>
          </w:p>
        </w:tc>
        <w:tc>
          <w:tcPr>
            <w:tcW w:w="7598" w:type="dxa"/>
          </w:tcPr>
          <w:p w14:paraId="263F8FEF" w14:textId="77777777" w:rsidR="003171AF" w:rsidRPr="00B63314" w:rsidRDefault="003171AF" w:rsidP="00CC7D8C">
            <w:pPr>
              <w:spacing w:before="120" w:after="120"/>
              <w:jc w:val="both"/>
              <w:rPr>
                <w:rFonts w:cs="Times New Roman"/>
                <w:i/>
                <w:iCs/>
                <w:sz w:val="24"/>
                <w:szCs w:val="24"/>
              </w:rPr>
            </w:pPr>
          </w:p>
        </w:tc>
      </w:tr>
      <w:tr w:rsidR="003171AF" w:rsidRPr="007F4317" w14:paraId="7F5201BE" w14:textId="77777777" w:rsidTr="00606FDA">
        <w:trPr>
          <w:jc w:val="center"/>
        </w:trPr>
        <w:tc>
          <w:tcPr>
            <w:tcW w:w="992" w:type="dxa"/>
            <w:shd w:val="clear" w:color="auto" w:fill="auto"/>
            <w:vAlign w:val="center"/>
          </w:tcPr>
          <w:p w14:paraId="5914A53E" w14:textId="351DDC6A" w:rsidR="003171AF" w:rsidRPr="00B63314" w:rsidRDefault="003171AF" w:rsidP="00F34BEE">
            <w:pPr>
              <w:spacing w:before="120" w:after="120"/>
              <w:jc w:val="center"/>
              <w:rPr>
                <w:rFonts w:cs="Times New Roman"/>
                <w:sz w:val="24"/>
                <w:szCs w:val="24"/>
              </w:rPr>
            </w:pPr>
            <w:r w:rsidRPr="00B63314">
              <w:rPr>
                <w:rFonts w:cs="Times New Roman"/>
                <w:sz w:val="24"/>
                <w:szCs w:val="24"/>
              </w:rPr>
              <w:t>(</w:t>
            </w:r>
            <w:r w:rsidR="009947D0" w:rsidRPr="00B63314">
              <w:rPr>
                <w:rFonts w:cs="Times New Roman"/>
                <w:sz w:val="24"/>
                <w:szCs w:val="24"/>
              </w:rPr>
              <w:t>2</w:t>
            </w:r>
            <w:r w:rsidR="009947D0">
              <w:rPr>
                <w:rFonts w:cs="Times New Roman"/>
                <w:sz w:val="24"/>
                <w:szCs w:val="24"/>
              </w:rPr>
              <w:t>4</w:t>
            </w:r>
            <w:r w:rsidRPr="00B63314">
              <w:rPr>
                <w:rFonts w:cs="Times New Roman"/>
                <w:sz w:val="24"/>
                <w:szCs w:val="24"/>
              </w:rPr>
              <w:t>)</w:t>
            </w:r>
          </w:p>
        </w:tc>
        <w:tc>
          <w:tcPr>
            <w:tcW w:w="5186" w:type="dxa"/>
            <w:shd w:val="clear" w:color="auto" w:fill="auto"/>
            <w:vAlign w:val="center"/>
          </w:tcPr>
          <w:p w14:paraId="08141391" w14:textId="4801956C" w:rsidR="003171AF" w:rsidRPr="00B63314" w:rsidRDefault="003171AF" w:rsidP="00CC7D8C">
            <w:pPr>
              <w:spacing w:before="120" w:after="120"/>
              <w:jc w:val="both"/>
              <w:rPr>
                <w:rFonts w:cs="Times New Roman"/>
                <w:sz w:val="24"/>
                <w:szCs w:val="24"/>
              </w:rPr>
            </w:pPr>
            <w:r w:rsidRPr="00B63314">
              <w:rPr>
                <w:rFonts w:cs="Times New Roman"/>
                <w:sz w:val="24"/>
                <w:szCs w:val="24"/>
              </w:rPr>
              <w:t>Nợ thứ cấp do ngân hàng phát hành, ký kết đáp ứng đầy đủ các điều kiện sau:</w:t>
            </w:r>
          </w:p>
          <w:p w14:paraId="053F6591" w14:textId="38F1A9A3"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(i) Có kỳ hạn ban đầu từ </w:t>
            </w:r>
            <w:r w:rsidR="00A23B06">
              <w:rPr>
                <w:rFonts w:cs="Times New Roman"/>
                <w:sz w:val="24"/>
                <w:szCs w:val="24"/>
              </w:rPr>
              <w:t>05</w:t>
            </w:r>
            <w:r w:rsidRPr="00B63314">
              <w:rPr>
                <w:rFonts w:cs="Times New Roman"/>
                <w:sz w:val="24"/>
                <w:szCs w:val="24"/>
              </w:rPr>
              <w:t xml:space="preserve"> năm trở lên;</w:t>
            </w:r>
          </w:p>
          <w:p w14:paraId="6C280E84"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(ii) Không được đảm bảo bằng tài sản của chính ngân hàng;</w:t>
            </w:r>
          </w:p>
          <w:p w14:paraId="57C1C98D" w14:textId="1225A43B" w:rsidR="003171AF" w:rsidRPr="00B63314" w:rsidRDefault="003171AF" w:rsidP="00CC7D8C">
            <w:pPr>
              <w:spacing w:before="120" w:after="120"/>
              <w:jc w:val="both"/>
              <w:rPr>
                <w:rFonts w:cs="Times New Roman"/>
                <w:sz w:val="24"/>
                <w:szCs w:val="24"/>
              </w:rPr>
            </w:pPr>
            <w:r w:rsidRPr="00B63314">
              <w:rPr>
                <w:rFonts w:cs="Times New Roman"/>
                <w:sz w:val="24"/>
                <w:szCs w:val="24"/>
              </w:rPr>
              <w:lastRenderedPageBreak/>
              <w:t xml:space="preserve">(iii) Ngân hàng được trả nợ trước thời gian đáo hạn với điều kiện sau khi thực hiện vẫn đảm bảo các tỷ lệ, giới hạn bảo đảm an toàn theo quy định và báo cáo Ngân hàng Nhà nước (Cục Quản lý, giám sát tổ chức tín dụng hoặc </w:t>
            </w:r>
            <w:r w:rsidR="00A23B06">
              <w:rPr>
                <w:rFonts w:cs="Times New Roman"/>
                <w:sz w:val="24"/>
                <w:szCs w:val="24"/>
              </w:rPr>
              <w:t>Ngân hàng Nhà nước chi nhánh Khu vực</w:t>
            </w:r>
            <w:r w:rsidRPr="00B63314">
              <w:rPr>
                <w:rFonts w:cs="Times New Roman"/>
                <w:sz w:val="24"/>
                <w:szCs w:val="24"/>
              </w:rPr>
              <w:t xml:space="preserve"> theo đối tượng giám sát) để giám sát;</w:t>
            </w:r>
          </w:p>
          <w:p w14:paraId="405DF9C5"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(iv) Ngân hàng được ngừng trả lãi và chuyển lãi lũy kế sang năm tiếp theo nếu việc trả lãi dẫn đến kết quả kinh doanh trong năm bị lỗ; </w:t>
            </w:r>
          </w:p>
          <w:p w14:paraId="7043C258"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(v) Trong trường hợp thanh lý ngân hàng, người sở hữu khoản nợ thứ cấp chỉ được thanh toán sau khi ngân hàng đã thanh toán cho tất cả các chủ nợ khác; </w:t>
            </w:r>
          </w:p>
          <w:p w14:paraId="7283AA9E"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(vi) Lãi suất cố định hoặc công thức tính lãi suất được xác định trước và ghi rõ trong hợp đồng, tài liệu phát hành.</w:t>
            </w:r>
          </w:p>
          <w:p w14:paraId="40356AF5" w14:textId="72008AA8" w:rsidR="003171AF" w:rsidRPr="00B63314" w:rsidRDefault="003171AF" w:rsidP="00CC7D8C">
            <w:pPr>
              <w:spacing w:before="120" w:after="120"/>
              <w:jc w:val="both"/>
              <w:rPr>
                <w:rFonts w:cs="Times New Roman"/>
                <w:sz w:val="24"/>
                <w:szCs w:val="24"/>
              </w:rPr>
            </w:pPr>
            <w:r w:rsidRPr="00B63314">
              <w:rPr>
                <w:rFonts w:cs="Times New Roman"/>
                <w:sz w:val="24"/>
                <w:szCs w:val="24"/>
              </w:rPr>
              <w:t xml:space="preserve">- Đối với lãi suất cố định, việc điều chỉnh tăng lãi suất chỉ được thực hiện sau </w:t>
            </w:r>
            <w:r w:rsidR="00A23B06">
              <w:rPr>
                <w:rFonts w:cs="Times New Roman"/>
                <w:sz w:val="24"/>
                <w:szCs w:val="24"/>
              </w:rPr>
              <w:t>0</w:t>
            </w:r>
            <w:r w:rsidRPr="00B63314">
              <w:rPr>
                <w:rFonts w:cs="Times New Roman"/>
                <w:sz w:val="24"/>
                <w:szCs w:val="24"/>
              </w:rPr>
              <w:t xml:space="preserve">5 năm kể từ ngày phát hành, ký kết hợp đồng và chỉ được thay đổi </w:t>
            </w:r>
            <w:r w:rsidR="00A23B06">
              <w:rPr>
                <w:rFonts w:cs="Times New Roman"/>
                <w:sz w:val="24"/>
                <w:szCs w:val="24"/>
              </w:rPr>
              <w:t>0</w:t>
            </w:r>
            <w:r w:rsidRPr="00B63314">
              <w:rPr>
                <w:rFonts w:cs="Times New Roman"/>
                <w:sz w:val="24"/>
                <w:szCs w:val="24"/>
              </w:rPr>
              <w:t xml:space="preserve">1 lần trong suốt thời hạn của nợ thứ cấp. </w:t>
            </w:r>
          </w:p>
          <w:p w14:paraId="5C5500B5" w14:textId="33388A62" w:rsidR="003171AF" w:rsidRPr="00B63314" w:rsidRDefault="003171AF" w:rsidP="00CC7D8C">
            <w:pPr>
              <w:spacing w:before="120" w:after="120"/>
              <w:jc w:val="both"/>
              <w:rPr>
                <w:rFonts w:cs="Times New Roman"/>
                <w:b/>
                <w:bCs/>
                <w:sz w:val="24"/>
                <w:szCs w:val="24"/>
              </w:rPr>
            </w:pPr>
            <w:r w:rsidRPr="00B63314">
              <w:rPr>
                <w:rFonts w:cs="Times New Roman"/>
                <w:sz w:val="24"/>
                <w:szCs w:val="24"/>
              </w:rPr>
              <w:t xml:space="preserve">- Đối với lãi suất tính theo công thức, công thức không được thay đổi và chỉ được thay đổi biên độ trong công thức (nếu có) </w:t>
            </w:r>
            <w:r w:rsidR="00A23B06">
              <w:rPr>
                <w:rFonts w:cs="Times New Roman"/>
                <w:sz w:val="24"/>
                <w:szCs w:val="24"/>
              </w:rPr>
              <w:t>0</w:t>
            </w:r>
            <w:r w:rsidRPr="00B63314">
              <w:rPr>
                <w:rFonts w:cs="Times New Roman"/>
                <w:sz w:val="24"/>
                <w:szCs w:val="24"/>
              </w:rPr>
              <w:t xml:space="preserve">1 lần sau </w:t>
            </w:r>
            <w:r w:rsidR="00A23B06">
              <w:rPr>
                <w:rFonts w:cs="Times New Roman"/>
                <w:sz w:val="24"/>
                <w:szCs w:val="24"/>
              </w:rPr>
              <w:t>0</w:t>
            </w:r>
            <w:r w:rsidRPr="00B63314">
              <w:rPr>
                <w:rFonts w:cs="Times New Roman"/>
                <w:sz w:val="24"/>
                <w:szCs w:val="24"/>
              </w:rPr>
              <w:t>5 năm kể từ ngày phát hành, ký kết hợp đồng.</w:t>
            </w:r>
          </w:p>
        </w:tc>
        <w:tc>
          <w:tcPr>
            <w:tcW w:w="7598" w:type="dxa"/>
          </w:tcPr>
          <w:p w14:paraId="44091970" w14:textId="353C3B4F" w:rsidR="003171AF" w:rsidRPr="00B63314" w:rsidRDefault="003171AF" w:rsidP="00CC7D8C">
            <w:pPr>
              <w:spacing w:before="120" w:after="120"/>
              <w:jc w:val="both"/>
              <w:rPr>
                <w:rFonts w:cs="Times New Roman"/>
                <w:sz w:val="24"/>
                <w:szCs w:val="24"/>
              </w:rPr>
            </w:pPr>
            <w:r w:rsidRPr="00B63314">
              <w:rPr>
                <w:rFonts w:cs="Times New Roman"/>
                <w:sz w:val="24"/>
                <w:szCs w:val="24"/>
              </w:rPr>
              <w:lastRenderedPageBreak/>
              <w:t xml:space="preserve">- Tại thời điểm xác định giá trị, nếu thời hạn còn lại của </w:t>
            </w:r>
            <w:r w:rsidR="004B6980">
              <w:rPr>
                <w:rFonts w:cs="Times New Roman"/>
                <w:sz w:val="24"/>
                <w:szCs w:val="24"/>
              </w:rPr>
              <w:t>nợ thứ cấp</w:t>
            </w:r>
            <w:r w:rsidRPr="00B63314">
              <w:rPr>
                <w:rFonts w:cs="Times New Roman"/>
                <w:sz w:val="24"/>
                <w:szCs w:val="24"/>
              </w:rPr>
              <w:t xml:space="preserve"> trên </w:t>
            </w:r>
            <w:r w:rsidR="00A23B06">
              <w:rPr>
                <w:rFonts w:cs="Times New Roman"/>
                <w:sz w:val="24"/>
                <w:szCs w:val="24"/>
              </w:rPr>
              <w:t>0</w:t>
            </w:r>
            <w:r w:rsidRPr="00B63314">
              <w:rPr>
                <w:rFonts w:cs="Times New Roman"/>
                <w:sz w:val="24"/>
                <w:szCs w:val="24"/>
              </w:rPr>
              <w:t>5 năm, toàn bộ giá trị nợ thứ cấp được tính vào vốn cấp 2.</w:t>
            </w:r>
          </w:p>
          <w:p w14:paraId="2C21B6EE"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 Bắt đầu từ năm thứ năm trước khi đến hạn thanh toán, mỗi năm tại ngày đầu tiên của năm (tính theo ngày phát hành), giá trị nợ thứ cấp được tính vào vốn cấp 2 sẽ phải được khấu trừ 20% của tổng mệnh giá.</w:t>
            </w:r>
          </w:p>
          <w:p w14:paraId="247388C0" w14:textId="77777777" w:rsidR="003171AF" w:rsidRPr="00B63314" w:rsidRDefault="003171AF" w:rsidP="00CC7D8C">
            <w:pPr>
              <w:spacing w:before="120" w:after="120"/>
              <w:jc w:val="both"/>
              <w:rPr>
                <w:rFonts w:cs="Times New Roman"/>
                <w:sz w:val="24"/>
                <w:szCs w:val="24"/>
              </w:rPr>
            </w:pPr>
          </w:p>
        </w:tc>
      </w:tr>
      <w:tr w:rsidR="003171AF" w:rsidRPr="007F4317" w14:paraId="74B8A331" w14:textId="77777777" w:rsidTr="00606FDA">
        <w:trPr>
          <w:jc w:val="center"/>
        </w:trPr>
        <w:tc>
          <w:tcPr>
            <w:tcW w:w="992" w:type="dxa"/>
            <w:shd w:val="clear" w:color="auto" w:fill="auto"/>
            <w:vAlign w:val="center"/>
          </w:tcPr>
          <w:p w14:paraId="0819C79E" w14:textId="62BC2874" w:rsidR="003171AF" w:rsidRPr="00B63314" w:rsidRDefault="003171AF" w:rsidP="00F34BEE">
            <w:pPr>
              <w:spacing w:before="120" w:after="120"/>
              <w:jc w:val="center"/>
              <w:rPr>
                <w:rFonts w:cs="Times New Roman"/>
                <w:sz w:val="24"/>
                <w:szCs w:val="24"/>
              </w:rPr>
            </w:pPr>
            <w:r w:rsidRPr="00B63314">
              <w:rPr>
                <w:rFonts w:cs="Times New Roman"/>
                <w:sz w:val="24"/>
                <w:szCs w:val="24"/>
              </w:rPr>
              <w:lastRenderedPageBreak/>
              <w:t>(</w:t>
            </w:r>
            <w:r w:rsidR="009947D0" w:rsidRPr="00B63314">
              <w:rPr>
                <w:rFonts w:cs="Times New Roman"/>
                <w:sz w:val="24"/>
                <w:szCs w:val="24"/>
              </w:rPr>
              <w:t>2</w:t>
            </w:r>
            <w:r w:rsidR="009947D0">
              <w:rPr>
                <w:rFonts w:cs="Times New Roman"/>
                <w:sz w:val="24"/>
                <w:szCs w:val="24"/>
              </w:rPr>
              <w:t>5</w:t>
            </w:r>
            <w:r w:rsidRPr="00B63314">
              <w:rPr>
                <w:rFonts w:cs="Times New Roman"/>
                <w:sz w:val="24"/>
                <w:szCs w:val="24"/>
              </w:rPr>
              <w:t>)</w:t>
            </w:r>
          </w:p>
        </w:tc>
        <w:tc>
          <w:tcPr>
            <w:tcW w:w="5186" w:type="dxa"/>
            <w:shd w:val="clear" w:color="auto" w:fill="auto"/>
            <w:vAlign w:val="center"/>
          </w:tcPr>
          <w:p w14:paraId="600BB9F6" w14:textId="6768D36A" w:rsidR="003171AF" w:rsidRPr="00B63314" w:rsidRDefault="003171AF">
            <w:pPr>
              <w:spacing w:before="120" w:after="120"/>
              <w:jc w:val="both"/>
              <w:rPr>
                <w:rFonts w:cs="Times New Roman"/>
                <w:b/>
                <w:bCs/>
                <w:sz w:val="24"/>
                <w:szCs w:val="24"/>
              </w:rPr>
            </w:pPr>
            <w:r w:rsidRPr="00B63314">
              <w:rPr>
                <w:rFonts w:cs="Times New Roman"/>
                <w:sz w:val="24"/>
                <w:szCs w:val="24"/>
              </w:rPr>
              <w:t xml:space="preserve">80% dự phòng chung theo quy định về mức trích, phương pháp trích dự phòng rủi ro và sử dụng dự phòng để xử lý rủi ro cho các danh mục </w:t>
            </w:r>
            <w:r w:rsidR="004B6980">
              <w:rPr>
                <w:rFonts w:cs="Times New Roman"/>
                <w:sz w:val="24"/>
                <w:szCs w:val="24"/>
              </w:rPr>
              <w:t>được</w:t>
            </w:r>
            <w:r w:rsidRPr="00B63314">
              <w:rPr>
                <w:rFonts w:cs="Times New Roman"/>
                <w:sz w:val="24"/>
                <w:szCs w:val="24"/>
              </w:rPr>
              <w:t xml:space="preserve"> áp </w:t>
            </w:r>
            <w:r w:rsidRPr="00B63314">
              <w:rPr>
                <w:rFonts w:cs="Times New Roman"/>
                <w:sz w:val="24"/>
                <w:szCs w:val="24"/>
              </w:rPr>
              <w:lastRenderedPageBreak/>
              <w:t>dụng phương pháp tiêu chuẩn khi tính tài sản có rủi ro tín dụng</w:t>
            </w:r>
            <w:r w:rsidRPr="00B63314" w:rsidDel="00FC4D17">
              <w:rPr>
                <w:rFonts w:cs="Times New Roman"/>
                <w:sz w:val="24"/>
                <w:szCs w:val="24"/>
              </w:rPr>
              <w:t xml:space="preserve"> </w:t>
            </w:r>
            <w:r w:rsidR="004B6980">
              <w:rPr>
                <w:rFonts w:cs="Times New Roman"/>
                <w:sz w:val="24"/>
                <w:szCs w:val="24"/>
              </w:rPr>
              <w:t>khách hàng</w:t>
            </w:r>
          </w:p>
        </w:tc>
        <w:tc>
          <w:tcPr>
            <w:tcW w:w="7598" w:type="dxa"/>
          </w:tcPr>
          <w:p w14:paraId="3CE9E9BC"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lastRenderedPageBreak/>
              <w:t>Lấy 80% tổng các khoản mục </w:t>
            </w:r>
            <w:r w:rsidRPr="00B63314">
              <w:rPr>
                <w:rFonts w:cs="Times New Roman"/>
                <w:b/>
                <w:bCs/>
                <w:sz w:val="24"/>
                <w:szCs w:val="24"/>
              </w:rPr>
              <w:t>Dự phòng chung</w:t>
            </w:r>
            <w:r w:rsidRPr="00B63314">
              <w:rPr>
                <w:rFonts w:cs="Times New Roman"/>
                <w:sz w:val="24"/>
                <w:szCs w:val="24"/>
              </w:rPr>
              <w:t> trên Báo cáo tình hình tài chính hợp nhất được lập theo số liệu Bảng cân đối tài khoản kế toán của các đối tượng hợp nhất.</w:t>
            </w:r>
          </w:p>
        </w:tc>
      </w:tr>
      <w:tr w:rsidR="003171AF" w:rsidRPr="007F4317" w14:paraId="3739EE29" w14:textId="77777777" w:rsidTr="00606FDA">
        <w:trPr>
          <w:jc w:val="center"/>
        </w:trPr>
        <w:tc>
          <w:tcPr>
            <w:tcW w:w="992" w:type="dxa"/>
            <w:shd w:val="clear" w:color="auto" w:fill="auto"/>
            <w:vAlign w:val="center"/>
          </w:tcPr>
          <w:p w14:paraId="6A597D18" w14:textId="3B836B37" w:rsidR="003171AF" w:rsidRPr="00B63314" w:rsidRDefault="003171AF" w:rsidP="00F34BEE">
            <w:pPr>
              <w:spacing w:before="120" w:after="120"/>
              <w:jc w:val="center"/>
              <w:rPr>
                <w:rFonts w:cs="Times New Roman"/>
                <w:sz w:val="24"/>
                <w:szCs w:val="24"/>
              </w:rPr>
            </w:pPr>
            <w:r w:rsidRPr="00B63314">
              <w:rPr>
                <w:rFonts w:cs="Times New Roman"/>
                <w:sz w:val="24"/>
                <w:szCs w:val="24"/>
              </w:rPr>
              <w:lastRenderedPageBreak/>
              <w:t>(</w:t>
            </w:r>
            <w:r w:rsidR="009947D0" w:rsidRPr="00B63314">
              <w:rPr>
                <w:rFonts w:cs="Times New Roman"/>
                <w:sz w:val="24"/>
                <w:szCs w:val="24"/>
              </w:rPr>
              <w:t>2</w:t>
            </w:r>
            <w:r w:rsidR="009947D0">
              <w:rPr>
                <w:rFonts w:cs="Times New Roman"/>
                <w:sz w:val="24"/>
                <w:szCs w:val="24"/>
              </w:rPr>
              <w:t>6</w:t>
            </w:r>
            <w:r w:rsidRPr="00B63314">
              <w:rPr>
                <w:rFonts w:cs="Times New Roman"/>
                <w:sz w:val="24"/>
                <w:szCs w:val="24"/>
              </w:rPr>
              <w:t>)</w:t>
            </w:r>
          </w:p>
        </w:tc>
        <w:tc>
          <w:tcPr>
            <w:tcW w:w="5186" w:type="dxa"/>
            <w:shd w:val="clear" w:color="auto" w:fill="auto"/>
            <w:vAlign w:val="center"/>
          </w:tcPr>
          <w:p w14:paraId="0620E9F3" w14:textId="3BB4F16D" w:rsidR="003171AF" w:rsidRPr="00B63314" w:rsidRDefault="003171AF">
            <w:pPr>
              <w:spacing w:before="120" w:after="120"/>
              <w:jc w:val="both"/>
              <w:rPr>
                <w:rFonts w:cs="Times New Roman"/>
                <w:b/>
                <w:bCs/>
                <w:sz w:val="24"/>
                <w:szCs w:val="24"/>
              </w:rPr>
            </w:pPr>
            <w:r w:rsidRPr="00B63314">
              <w:rPr>
                <w:rFonts w:cs="Times New Roman"/>
                <w:sz w:val="24"/>
                <w:szCs w:val="24"/>
              </w:rPr>
              <w:t>Phần chênh lệch dương giữa dự phòng</w:t>
            </w:r>
            <w:r w:rsidR="00B91913">
              <w:rPr>
                <w:rFonts w:cs="Times New Roman"/>
                <w:sz w:val="24"/>
                <w:szCs w:val="24"/>
              </w:rPr>
              <w:t xml:space="preserve"> </w:t>
            </w:r>
            <w:r w:rsidR="00B91913" w:rsidRPr="004F4BD4">
              <w:rPr>
                <w:rFonts w:cs="Times New Roman"/>
                <w:sz w:val="24"/>
                <w:szCs w:val="24"/>
              </w:rPr>
              <w:t>rủi ro</w:t>
            </w:r>
            <w:r w:rsidRPr="004F4BD4">
              <w:rPr>
                <w:rFonts w:cs="Times New Roman"/>
                <w:sz w:val="24"/>
                <w:szCs w:val="24"/>
              </w:rPr>
              <w:t xml:space="preserve"> </w:t>
            </w:r>
            <w:r w:rsidRPr="00B63314">
              <w:rPr>
                <w:rFonts w:cs="Times New Roman"/>
                <w:sz w:val="24"/>
                <w:szCs w:val="24"/>
              </w:rPr>
              <w:t xml:space="preserve">và tổn thất dự kiến cho danh mục được áp dụng </w:t>
            </w:r>
            <w:r w:rsidR="00904DDB">
              <w:rPr>
                <w:rFonts w:cs="Times New Roman"/>
                <w:sz w:val="24"/>
                <w:szCs w:val="24"/>
              </w:rPr>
              <w:t>phương pháp xếp hạng nội bộ</w:t>
            </w:r>
            <w:r w:rsidRPr="00B63314">
              <w:rPr>
                <w:rFonts w:cs="Times New Roman"/>
                <w:sz w:val="24"/>
                <w:szCs w:val="24"/>
              </w:rPr>
              <w:t xml:space="preserve"> khi tính tài sản có rủi ro tín dụng</w:t>
            </w:r>
            <w:r w:rsidR="00616B50">
              <w:rPr>
                <w:rFonts w:cs="Times New Roman"/>
                <w:sz w:val="24"/>
                <w:szCs w:val="24"/>
              </w:rPr>
              <w:t xml:space="preserve"> khách hàng</w:t>
            </w:r>
          </w:p>
        </w:tc>
        <w:tc>
          <w:tcPr>
            <w:tcW w:w="7598" w:type="dxa"/>
          </w:tcPr>
          <w:p w14:paraId="37BBB5CB" w14:textId="279EB146" w:rsidR="003171AF" w:rsidRPr="00B63314" w:rsidRDefault="003171AF">
            <w:pPr>
              <w:spacing w:before="120" w:after="120"/>
              <w:jc w:val="both"/>
              <w:rPr>
                <w:rFonts w:cs="Times New Roman"/>
                <w:sz w:val="24"/>
                <w:szCs w:val="24"/>
              </w:rPr>
            </w:pPr>
            <w:r w:rsidRPr="00B63314">
              <w:rPr>
                <w:rFonts w:cs="Times New Roman"/>
                <w:sz w:val="24"/>
                <w:szCs w:val="24"/>
              </w:rPr>
              <w:t xml:space="preserve">Chỉ áp dụng cho </w:t>
            </w:r>
            <w:r w:rsidR="005F578B" w:rsidRPr="00B63314">
              <w:rPr>
                <w:rFonts w:cs="Times New Roman"/>
                <w:sz w:val="24"/>
                <w:szCs w:val="24"/>
              </w:rPr>
              <w:t xml:space="preserve">danh mục tài sản </w:t>
            </w:r>
            <w:r w:rsidRPr="00B63314">
              <w:rPr>
                <w:rFonts w:cs="Times New Roman"/>
                <w:sz w:val="24"/>
                <w:szCs w:val="24"/>
              </w:rPr>
              <w:t>được</w:t>
            </w:r>
            <w:r w:rsidRPr="00B63314">
              <w:rPr>
                <w:rFonts w:cs="Times New Roman"/>
                <w:i/>
                <w:iCs/>
                <w:sz w:val="24"/>
                <w:szCs w:val="24"/>
              </w:rPr>
              <w:t xml:space="preserve"> </w:t>
            </w:r>
            <w:r w:rsidRPr="00B63314">
              <w:rPr>
                <w:rFonts w:cs="Times New Roman"/>
                <w:sz w:val="24"/>
                <w:szCs w:val="24"/>
              </w:rPr>
              <w:t xml:space="preserve">áp dụng </w:t>
            </w:r>
            <w:r w:rsidR="00904DDB">
              <w:rPr>
                <w:rFonts w:cs="Times New Roman"/>
                <w:sz w:val="24"/>
                <w:szCs w:val="24"/>
              </w:rPr>
              <w:t>phương pháp xếp hạng nội bộ</w:t>
            </w:r>
            <w:r w:rsidRPr="00B63314">
              <w:rPr>
                <w:rFonts w:cs="Times New Roman"/>
                <w:sz w:val="24"/>
                <w:szCs w:val="24"/>
              </w:rPr>
              <w:t xml:space="preserve"> khi tính tài sản có rủi ro tín dụng</w:t>
            </w:r>
            <w:r w:rsidR="00295D0E">
              <w:rPr>
                <w:rFonts w:cs="Times New Roman"/>
                <w:sz w:val="24"/>
                <w:szCs w:val="24"/>
              </w:rPr>
              <w:t xml:space="preserve"> </w:t>
            </w:r>
            <w:r w:rsidR="00616B50">
              <w:rPr>
                <w:rFonts w:cs="Times New Roman"/>
                <w:sz w:val="24"/>
                <w:szCs w:val="24"/>
              </w:rPr>
              <w:t xml:space="preserve">khách hàng </w:t>
            </w:r>
            <w:r w:rsidR="00295D0E">
              <w:rPr>
                <w:rFonts w:cs="Times New Roman"/>
                <w:sz w:val="24"/>
                <w:szCs w:val="24"/>
              </w:rPr>
              <w:t xml:space="preserve">theo quy định tại khoản 2 Điều </w:t>
            </w:r>
            <w:r w:rsidR="005D174C">
              <w:rPr>
                <w:rFonts w:cs="Times New Roman"/>
                <w:sz w:val="24"/>
                <w:szCs w:val="24"/>
              </w:rPr>
              <w:t>62</w:t>
            </w:r>
            <w:r w:rsidR="00295D0E">
              <w:rPr>
                <w:rFonts w:cs="Times New Roman"/>
                <w:sz w:val="24"/>
                <w:szCs w:val="24"/>
              </w:rPr>
              <w:t xml:space="preserve"> Thông tư này.</w:t>
            </w:r>
          </w:p>
        </w:tc>
      </w:tr>
      <w:tr w:rsidR="003171AF" w:rsidRPr="008E0E91" w14:paraId="4C47C6DE" w14:textId="77777777" w:rsidTr="00606FDA">
        <w:trPr>
          <w:jc w:val="center"/>
        </w:trPr>
        <w:tc>
          <w:tcPr>
            <w:tcW w:w="992" w:type="dxa"/>
            <w:shd w:val="clear" w:color="auto" w:fill="auto"/>
            <w:vAlign w:val="center"/>
          </w:tcPr>
          <w:p w14:paraId="44726453" w14:textId="0E0399A2" w:rsidR="003171AF" w:rsidRPr="008E0E91" w:rsidRDefault="003171AF" w:rsidP="00F34BEE">
            <w:pPr>
              <w:spacing w:before="120" w:after="120"/>
              <w:jc w:val="center"/>
              <w:rPr>
                <w:rFonts w:cs="Times New Roman"/>
                <w:sz w:val="24"/>
                <w:szCs w:val="24"/>
              </w:rPr>
            </w:pPr>
            <w:r>
              <w:rPr>
                <w:rFonts w:cs="Times New Roman"/>
                <w:sz w:val="24"/>
                <w:szCs w:val="24"/>
              </w:rPr>
              <w:t>(</w:t>
            </w:r>
            <w:r w:rsidR="009947D0">
              <w:rPr>
                <w:rFonts w:cs="Times New Roman"/>
                <w:sz w:val="24"/>
                <w:szCs w:val="24"/>
              </w:rPr>
              <w:t>27</w:t>
            </w:r>
            <w:r>
              <w:rPr>
                <w:rFonts w:cs="Times New Roman"/>
                <w:sz w:val="24"/>
                <w:szCs w:val="24"/>
              </w:rPr>
              <w:t>)</w:t>
            </w:r>
          </w:p>
        </w:tc>
        <w:tc>
          <w:tcPr>
            <w:tcW w:w="5186" w:type="dxa"/>
            <w:shd w:val="clear" w:color="auto" w:fill="auto"/>
            <w:vAlign w:val="center"/>
          </w:tcPr>
          <w:p w14:paraId="737F9E4A" w14:textId="77777777" w:rsidR="003171AF" w:rsidRPr="008E0E91" w:rsidRDefault="003171AF" w:rsidP="00CC7D8C">
            <w:pPr>
              <w:spacing w:before="120" w:after="120"/>
              <w:jc w:val="both"/>
              <w:rPr>
                <w:rFonts w:cs="Times New Roman"/>
                <w:sz w:val="24"/>
                <w:szCs w:val="24"/>
              </w:rPr>
            </w:pPr>
            <w:r>
              <w:rPr>
                <w:rFonts w:cs="Times New Roman"/>
                <w:sz w:val="24"/>
                <w:szCs w:val="24"/>
              </w:rPr>
              <w:t>Lợi ích cổ đông không kiểm soát</w:t>
            </w:r>
          </w:p>
        </w:tc>
        <w:tc>
          <w:tcPr>
            <w:tcW w:w="7598" w:type="dxa"/>
          </w:tcPr>
          <w:p w14:paraId="01E86A6F" w14:textId="77777777" w:rsidR="003171AF" w:rsidRPr="008E0E91" w:rsidRDefault="003171AF" w:rsidP="00CC7D8C">
            <w:pPr>
              <w:spacing w:before="120" w:after="120"/>
              <w:jc w:val="both"/>
              <w:rPr>
                <w:rFonts w:cs="Times New Roman"/>
                <w:sz w:val="24"/>
                <w:szCs w:val="24"/>
              </w:rPr>
            </w:pPr>
          </w:p>
        </w:tc>
      </w:tr>
      <w:tr w:rsidR="003171AF" w:rsidRPr="007F4317" w14:paraId="02EF470F" w14:textId="77777777" w:rsidTr="00606FDA">
        <w:trPr>
          <w:jc w:val="center"/>
        </w:trPr>
        <w:tc>
          <w:tcPr>
            <w:tcW w:w="992" w:type="dxa"/>
            <w:shd w:val="clear" w:color="auto" w:fill="auto"/>
            <w:vAlign w:val="center"/>
          </w:tcPr>
          <w:p w14:paraId="78A5025F" w14:textId="77777777" w:rsidR="003171AF" w:rsidRPr="00B63314" w:rsidRDefault="003171AF" w:rsidP="00CC7D8C">
            <w:pPr>
              <w:spacing w:before="120" w:after="120"/>
              <w:jc w:val="center"/>
              <w:rPr>
                <w:rFonts w:cs="Times New Roman"/>
                <w:i/>
                <w:iCs/>
                <w:sz w:val="24"/>
                <w:szCs w:val="24"/>
              </w:rPr>
            </w:pPr>
          </w:p>
        </w:tc>
        <w:tc>
          <w:tcPr>
            <w:tcW w:w="5186" w:type="dxa"/>
            <w:shd w:val="clear" w:color="auto" w:fill="auto"/>
            <w:vAlign w:val="center"/>
          </w:tcPr>
          <w:p w14:paraId="6D58F18B" w14:textId="77777777" w:rsidR="003171AF" w:rsidRPr="00B63314" w:rsidRDefault="003171AF" w:rsidP="00CC7D8C">
            <w:pPr>
              <w:spacing w:before="120" w:after="120"/>
              <w:jc w:val="both"/>
              <w:rPr>
                <w:rFonts w:cs="Times New Roman"/>
                <w:b/>
                <w:bCs/>
                <w:i/>
                <w:iCs/>
                <w:sz w:val="24"/>
                <w:szCs w:val="24"/>
              </w:rPr>
            </w:pPr>
            <w:r w:rsidRPr="00B63314">
              <w:rPr>
                <w:rFonts w:cs="Times New Roman"/>
                <w:b/>
                <w:bCs/>
                <w:i/>
                <w:iCs/>
                <w:sz w:val="24"/>
                <w:szCs w:val="24"/>
              </w:rPr>
              <w:t>Các khoản giảm trừ khỏi Vốn cấp 2 hợp nhất</w:t>
            </w:r>
          </w:p>
          <w:p w14:paraId="08374514" w14:textId="7E4DB7A1" w:rsidR="003171AF" w:rsidRPr="00B63314" w:rsidRDefault="003171AF" w:rsidP="00F34BEE">
            <w:pPr>
              <w:spacing w:before="120" w:after="120"/>
              <w:jc w:val="both"/>
              <w:rPr>
                <w:rFonts w:cs="Times New Roman"/>
                <w:b/>
                <w:bCs/>
                <w:i/>
                <w:iCs/>
                <w:sz w:val="24"/>
                <w:szCs w:val="24"/>
              </w:rPr>
            </w:pPr>
            <w:r w:rsidRPr="00B63314">
              <w:rPr>
                <w:rFonts w:cs="Times New Roman"/>
                <w:b/>
                <w:bCs/>
                <w:i/>
                <w:iCs/>
                <w:sz w:val="24"/>
                <w:szCs w:val="24"/>
              </w:rPr>
              <w:t xml:space="preserve">(B2)= </w:t>
            </w:r>
            <w:r w:rsidRPr="00B63314">
              <w:rPr>
                <w:rFonts w:cs="Times New Roman"/>
                <w:b/>
                <w:bCs/>
                <w:i/>
                <w:iCs/>
                <w:sz w:val="24"/>
                <w:szCs w:val="24"/>
                <w:lang w:val="pt-BR"/>
              </w:rPr>
              <w:t>∑</w:t>
            </w:r>
            <w:r w:rsidR="004F4BD4">
              <w:rPr>
                <w:rFonts w:cs="Times New Roman"/>
                <w:b/>
                <w:bCs/>
                <w:i/>
                <w:iCs/>
                <w:sz w:val="24"/>
                <w:szCs w:val="24"/>
                <w:lang w:val="pt-BR"/>
              </w:rPr>
              <w:t>(</w:t>
            </w:r>
            <w:r w:rsidR="000F0C84" w:rsidRPr="00B63314">
              <w:rPr>
                <w:rFonts w:cs="Times New Roman"/>
                <w:b/>
                <w:bCs/>
                <w:i/>
                <w:iCs/>
                <w:sz w:val="24"/>
                <w:szCs w:val="24"/>
                <w:lang w:val="pt-BR"/>
              </w:rPr>
              <w:t>2</w:t>
            </w:r>
            <w:r w:rsidR="000F0C84">
              <w:rPr>
                <w:rFonts w:cs="Times New Roman"/>
                <w:b/>
                <w:bCs/>
                <w:i/>
                <w:iCs/>
                <w:sz w:val="24"/>
                <w:szCs w:val="24"/>
                <w:lang w:val="pt-BR"/>
              </w:rPr>
              <w:t>8</w:t>
            </w:r>
            <w:r w:rsidR="004F4BD4">
              <w:rPr>
                <w:rFonts w:cs="Times New Roman"/>
                <w:b/>
                <w:bCs/>
                <w:i/>
                <w:iCs/>
                <w:sz w:val="24"/>
                <w:szCs w:val="24"/>
                <w:lang w:val="pt-BR"/>
              </w:rPr>
              <w:t xml:space="preserve">) </w:t>
            </w:r>
            <w:r w:rsidRPr="00B63314">
              <w:rPr>
                <w:rFonts w:cs="Times New Roman"/>
                <w:b/>
                <w:bCs/>
                <w:i/>
                <w:iCs/>
                <w:sz w:val="24"/>
                <w:szCs w:val="24"/>
                <w:lang w:val="pt-BR"/>
              </w:rPr>
              <w:t xml:space="preserve">÷ </w:t>
            </w:r>
            <w:r w:rsidR="004F4BD4">
              <w:rPr>
                <w:rFonts w:cs="Times New Roman"/>
                <w:b/>
                <w:bCs/>
                <w:i/>
                <w:iCs/>
                <w:sz w:val="24"/>
                <w:szCs w:val="24"/>
                <w:lang w:val="pt-BR"/>
              </w:rPr>
              <w:t>(</w:t>
            </w:r>
            <w:r w:rsidR="000F0C84" w:rsidRPr="00B63314">
              <w:rPr>
                <w:rFonts w:cs="Times New Roman"/>
                <w:b/>
                <w:bCs/>
                <w:i/>
                <w:iCs/>
                <w:sz w:val="24"/>
                <w:szCs w:val="24"/>
                <w:lang w:val="pt-BR"/>
              </w:rPr>
              <w:t>3</w:t>
            </w:r>
            <w:r w:rsidR="000F0C84">
              <w:rPr>
                <w:rFonts w:cs="Times New Roman"/>
                <w:b/>
                <w:bCs/>
                <w:i/>
                <w:iCs/>
                <w:sz w:val="24"/>
                <w:szCs w:val="24"/>
                <w:lang w:val="pt-BR"/>
              </w:rPr>
              <w:t>1</w:t>
            </w:r>
            <w:r w:rsidR="004F4BD4">
              <w:rPr>
                <w:rFonts w:cs="Times New Roman"/>
                <w:b/>
                <w:bCs/>
                <w:i/>
                <w:iCs/>
                <w:sz w:val="24"/>
                <w:szCs w:val="24"/>
                <w:lang w:val="pt-BR"/>
              </w:rPr>
              <w:t>)</w:t>
            </w:r>
          </w:p>
        </w:tc>
        <w:tc>
          <w:tcPr>
            <w:tcW w:w="7598" w:type="dxa"/>
          </w:tcPr>
          <w:p w14:paraId="4B61D32D" w14:textId="77777777" w:rsidR="003171AF" w:rsidRPr="00B63314" w:rsidRDefault="003171AF" w:rsidP="00CC7D8C">
            <w:pPr>
              <w:spacing w:before="120" w:after="120"/>
              <w:jc w:val="both"/>
              <w:rPr>
                <w:rFonts w:cs="Times New Roman"/>
                <w:i/>
                <w:iCs/>
                <w:sz w:val="24"/>
                <w:szCs w:val="24"/>
              </w:rPr>
            </w:pPr>
          </w:p>
        </w:tc>
      </w:tr>
      <w:tr w:rsidR="0073115B" w:rsidRPr="007F4317" w14:paraId="017E02EE" w14:textId="77777777" w:rsidTr="00606FDA">
        <w:trPr>
          <w:jc w:val="center"/>
        </w:trPr>
        <w:tc>
          <w:tcPr>
            <w:tcW w:w="992" w:type="dxa"/>
            <w:shd w:val="clear" w:color="auto" w:fill="auto"/>
            <w:vAlign w:val="center"/>
          </w:tcPr>
          <w:p w14:paraId="3085B888" w14:textId="0DFC8D0E" w:rsidR="0073115B" w:rsidRPr="00B63314" w:rsidRDefault="0073115B" w:rsidP="00F34BEE">
            <w:pPr>
              <w:spacing w:before="120" w:after="120"/>
              <w:jc w:val="center"/>
              <w:rPr>
                <w:rFonts w:cs="Times New Roman"/>
                <w:sz w:val="24"/>
                <w:szCs w:val="24"/>
              </w:rPr>
            </w:pPr>
            <w:r w:rsidRPr="00B63314">
              <w:rPr>
                <w:rFonts w:cs="Times New Roman"/>
                <w:sz w:val="24"/>
                <w:szCs w:val="24"/>
              </w:rPr>
              <w:t>(</w:t>
            </w:r>
            <w:r w:rsidR="000F0C84" w:rsidRPr="00B63314">
              <w:rPr>
                <w:rFonts w:cs="Times New Roman"/>
                <w:sz w:val="24"/>
                <w:szCs w:val="24"/>
              </w:rPr>
              <w:t>2</w:t>
            </w:r>
            <w:r w:rsidR="000F0C84">
              <w:rPr>
                <w:rFonts w:cs="Times New Roman"/>
                <w:sz w:val="24"/>
                <w:szCs w:val="24"/>
              </w:rPr>
              <w:t>8</w:t>
            </w:r>
            <w:r w:rsidRPr="00B63314">
              <w:rPr>
                <w:rFonts w:cs="Times New Roman"/>
                <w:sz w:val="24"/>
                <w:szCs w:val="24"/>
              </w:rPr>
              <w:t>)</w:t>
            </w:r>
          </w:p>
        </w:tc>
        <w:tc>
          <w:tcPr>
            <w:tcW w:w="5186" w:type="dxa"/>
            <w:shd w:val="clear" w:color="auto" w:fill="auto"/>
            <w:vAlign w:val="center"/>
          </w:tcPr>
          <w:p w14:paraId="15050816" w14:textId="6B3A16DB" w:rsidR="0073115B" w:rsidRPr="00B63314" w:rsidRDefault="0073115B">
            <w:pPr>
              <w:spacing w:before="120" w:after="120"/>
              <w:jc w:val="both"/>
              <w:rPr>
                <w:rFonts w:cs="Times New Roman"/>
                <w:b/>
                <w:bCs/>
                <w:sz w:val="24"/>
                <w:szCs w:val="24"/>
              </w:rPr>
            </w:pPr>
            <w:r w:rsidRPr="00B63314">
              <w:rPr>
                <w:rFonts w:cs="Times New Roman"/>
                <w:iCs/>
                <w:sz w:val="24"/>
                <w:szCs w:val="24"/>
              </w:rPr>
              <w:t>Phần giá trị chênh lệch dương giữa khoản mục (2</w:t>
            </w:r>
            <w:r>
              <w:rPr>
                <w:rFonts w:cs="Times New Roman"/>
                <w:iCs/>
                <w:sz w:val="24"/>
                <w:szCs w:val="24"/>
              </w:rPr>
              <w:t>5</w:t>
            </w:r>
            <w:r w:rsidRPr="00B63314">
              <w:rPr>
                <w:rFonts w:cs="Times New Roman"/>
                <w:iCs/>
                <w:sz w:val="24"/>
                <w:szCs w:val="24"/>
              </w:rPr>
              <w:t xml:space="preserve">) và </w:t>
            </w:r>
            <w:r w:rsidRPr="00B63314">
              <w:rPr>
                <w:rFonts w:cs="Times New Roman"/>
                <w:sz w:val="24"/>
                <w:szCs w:val="24"/>
              </w:rPr>
              <w:t xml:space="preserve">1,25% “Tổng tài sản </w:t>
            </w:r>
            <w:r>
              <w:rPr>
                <w:rFonts w:cs="Times New Roman"/>
                <w:sz w:val="24"/>
                <w:szCs w:val="24"/>
              </w:rPr>
              <w:t>có</w:t>
            </w:r>
            <w:r w:rsidRPr="00B63314">
              <w:rPr>
                <w:rFonts w:cs="Times New Roman"/>
                <w:sz w:val="24"/>
                <w:szCs w:val="24"/>
              </w:rPr>
              <w:t xml:space="preserve"> rủi ro tín dụng</w:t>
            </w:r>
            <w:r>
              <w:rPr>
                <w:rFonts w:cs="Times New Roman"/>
                <w:sz w:val="24"/>
                <w:szCs w:val="24"/>
              </w:rPr>
              <w:t xml:space="preserve"> khách hàng</w:t>
            </w:r>
            <w:r w:rsidRPr="00B63314">
              <w:rPr>
                <w:rFonts w:cs="Times New Roman"/>
                <w:sz w:val="24"/>
                <w:szCs w:val="24"/>
              </w:rPr>
              <w:t xml:space="preserve">” của danh mục được áp dụng phương pháp tiêu chuẩn khi tính tài sản có rủi ro tín dụng </w:t>
            </w:r>
            <w:r w:rsidR="007C2B89">
              <w:rPr>
                <w:rFonts w:cs="Times New Roman"/>
                <w:sz w:val="24"/>
                <w:szCs w:val="24"/>
              </w:rPr>
              <w:t xml:space="preserve">khách hàng </w:t>
            </w:r>
            <w:r w:rsidRPr="00B63314">
              <w:rPr>
                <w:rFonts w:cs="Times New Roman"/>
                <w:sz w:val="24"/>
                <w:szCs w:val="24"/>
              </w:rPr>
              <w:t>quy định tại Thông tư này</w:t>
            </w:r>
          </w:p>
        </w:tc>
        <w:tc>
          <w:tcPr>
            <w:tcW w:w="7598" w:type="dxa"/>
          </w:tcPr>
          <w:p w14:paraId="7D13F3D4" w14:textId="6732CCE9" w:rsidR="0073115B" w:rsidRPr="00B63314" w:rsidRDefault="0073115B">
            <w:pPr>
              <w:spacing w:before="120" w:after="120"/>
              <w:jc w:val="both"/>
              <w:rPr>
                <w:rFonts w:cs="Times New Roman"/>
                <w:sz w:val="24"/>
                <w:szCs w:val="24"/>
              </w:rPr>
            </w:pPr>
            <w:r w:rsidRPr="00B63314">
              <w:rPr>
                <w:rFonts w:cs="Times New Roman"/>
                <w:sz w:val="24"/>
                <w:szCs w:val="24"/>
              </w:rPr>
              <w:t>Chỉ áp dụng cho danh mục tài sản được áp dụng phương pháp tiêu chuẩn khi tính tài sản có rủi ro tín dụng</w:t>
            </w:r>
            <w:r>
              <w:rPr>
                <w:rFonts w:cs="Times New Roman"/>
                <w:sz w:val="24"/>
                <w:szCs w:val="24"/>
              </w:rPr>
              <w:t xml:space="preserve"> khách hàng</w:t>
            </w:r>
          </w:p>
        </w:tc>
      </w:tr>
      <w:tr w:rsidR="0073115B" w:rsidRPr="007F4317" w14:paraId="41429B14" w14:textId="77777777" w:rsidTr="00606FDA">
        <w:trPr>
          <w:jc w:val="center"/>
        </w:trPr>
        <w:tc>
          <w:tcPr>
            <w:tcW w:w="992" w:type="dxa"/>
            <w:shd w:val="clear" w:color="auto" w:fill="auto"/>
            <w:vAlign w:val="center"/>
          </w:tcPr>
          <w:p w14:paraId="5A432220" w14:textId="22EBF9F6" w:rsidR="0073115B" w:rsidRPr="00B63314" w:rsidRDefault="0073115B" w:rsidP="00F34BEE">
            <w:pPr>
              <w:spacing w:before="120" w:after="120"/>
              <w:jc w:val="center"/>
              <w:rPr>
                <w:rFonts w:cs="Times New Roman"/>
                <w:sz w:val="24"/>
                <w:szCs w:val="24"/>
              </w:rPr>
            </w:pPr>
            <w:r w:rsidRPr="00B63314">
              <w:rPr>
                <w:rFonts w:cs="Times New Roman"/>
                <w:sz w:val="24"/>
                <w:szCs w:val="24"/>
              </w:rPr>
              <w:t>(</w:t>
            </w:r>
            <w:r w:rsidR="000F0C84">
              <w:rPr>
                <w:rFonts w:cs="Times New Roman"/>
                <w:sz w:val="24"/>
                <w:szCs w:val="24"/>
              </w:rPr>
              <w:t>29</w:t>
            </w:r>
            <w:r w:rsidRPr="00B63314">
              <w:rPr>
                <w:rFonts w:cs="Times New Roman"/>
                <w:sz w:val="24"/>
                <w:szCs w:val="24"/>
              </w:rPr>
              <w:t>)</w:t>
            </w:r>
          </w:p>
        </w:tc>
        <w:tc>
          <w:tcPr>
            <w:tcW w:w="5186" w:type="dxa"/>
            <w:shd w:val="clear" w:color="auto" w:fill="auto"/>
            <w:vAlign w:val="center"/>
          </w:tcPr>
          <w:p w14:paraId="5C811245" w14:textId="03B802F7" w:rsidR="0073115B" w:rsidRPr="00B63314" w:rsidRDefault="0073115B">
            <w:pPr>
              <w:spacing w:before="120" w:after="120"/>
              <w:jc w:val="both"/>
              <w:rPr>
                <w:rFonts w:cs="Times New Roman"/>
                <w:b/>
                <w:bCs/>
                <w:iCs/>
                <w:sz w:val="24"/>
                <w:szCs w:val="24"/>
              </w:rPr>
            </w:pPr>
            <w:r w:rsidRPr="00B63314">
              <w:rPr>
                <w:rFonts w:cs="Times New Roman"/>
                <w:iCs/>
                <w:sz w:val="24"/>
                <w:szCs w:val="24"/>
              </w:rPr>
              <w:t>Phần chênh lệch dương giữa khoản mục (2</w:t>
            </w:r>
            <w:r>
              <w:rPr>
                <w:rFonts w:cs="Times New Roman"/>
                <w:iCs/>
                <w:sz w:val="24"/>
                <w:szCs w:val="24"/>
              </w:rPr>
              <w:t>6</w:t>
            </w:r>
            <w:r w:rsidRPr="00B63314">
              <w:rPr>
                <w:rFonts w:cs="Times New Roman"/>
                <w:iCs/>
                <w:sz w:val="24"/>
                <w:szCs w:val="24"/>
              </w:rPr>
              <w:t xml:space="preserve">) và 0,6% “Tổng tài sản </w:t>
            </w:r>
            <w:r>
              <w:rPr>
                <w:rFonts w:cs="Times New Roman"/>
                <w:iCs/>
                <w:sz w:val="24"/>
                <w:szCs w:val="24"/>
              </w:rPr>
              <w:t>có</w:t>
            </w:r>
            <w:r w:rsidRPr="00B63314">
              <w:rPr>
                <w:rFonts w:cs="Times New Roman"/>
                <w:iCs/>
                <w:sz w:val="24"/>
                <w:szCs w:val="24"/>
              </w:rPr>
              <w:t xml:space="preserve"> rủi ro tín dụng</w:t>
            </w:r>
            <w:r>
              <w:rPr>
                <w:rFonts w:cs="Times New Roman"/>
                <w:iCs/>
                <w:sz w:val="24"/>
                <w:szCs w:val="24"/>
              </w:rPr>
              <w:t xml:space="preserve"> khách hàng</w:t>
            </w:r>
            <w:r w:rsidRPr="00B63314">
              <w:rPr>
                <w:rFonts w:cs="Times New Roman"/>
                <w:iCs/>
                <w:sz w:val="24"/>
                <w:szCs w:val="24"/>
              </w:rPr>
              <w:t xml:space="preserve">” </w:t>
            </w:r>
            <w:r w:rsidRPr="00B63314">
              <w:rPr>
                <w:rFonts w:cs="Times New Roman"/>
                <w:sz w:val="24"/>
                <w:szCs w:val="24"/>
              </w:rPr>
              <w:t xml:space="preserve">của danh mục được áp dụng </w:t>
            </w:r>
            <w:r>
              <w:rPr>
                <w:rFonts w:cs="Times New Roman"/>
                <w:sz w:val="24"/>
                <w:szCs w:val="24"/>
              </w:rPr>
              <w:t>phương pháp xếp hạng nội bộ</w:t>
            </w:r>
            <w:r w:rsidRPr="00B63314">
              <w:rPr>
                <w:rFonts w:cs="Times New Roman"/>
                <w:sz w:val="24"/>
                <w:szCs w:val="24"/>
              </w:rPr>
              <w:t xml:space="preserve"> khi tính tài sản có rủi ro tín dụng</w:t>
            </w:r>
            <w:r w:rsidR="007C2B89">
              <w:rPr>
                <w:rFonts w:cs="Times New Roman"/>
                <w:sz w:val="24"/>
                <w:szCs w:val="24"/>
              </w:rPr>
              <w:t xml:space="preserve"> khách hàng</w:t>
            </w:r>
            <w:r w:rsidRPr="00B63314">
              <w:rPr>
                <w:rFonts w:cs="Times New Roman"/>
                <w:sz w:val="24"/>
                <w:szCs w:val="24"/>
              </w:rPr>
              <w:t xml:space="preserve"> quy định tại Thông tư này</w:t>
            </w:r>
          </w:p>
        </w:tc>
        <w:tc>
          <w:tcPr>
            <w:tcW w:w="7598" w:type="dxa"/>
          </w:tcPr>
          <w:p w14:paraId="5EA6D4E7" w14:textId="3E678FFC" w:rsidR="0073115B" w:rsidRPr="00B63314" w:rsidRDefault="0073115B">
            <w:pPr>
              <w:spacing w:before="120" w:after="120"/>
              <w:jc w:val="both"/>
              <w:rPr>
                <w:rFonts w:cs="Times New Roman"/>
                <w:sz w:val="24"/>
                <w:szCs w:val="24"/>
              </w:rPr>
            </w:pPr>
            <w:r w:rsidRPr="00B63314">
              <w:rPr>
                <w:rFonts w:cs="Times New Roman"/>
                <w:sz w:val="24"/>
                <w:szCs w:val="24"/>
              </w:rPr>
              <w:t xml:space="preserve">Chỉ áp dụng cho danh mục tài sản được áp dụng </w:t>
            </w:r>
            <w:r>
              <w:rPr>
                <w:rFonts w:cs="Times New Roman"/>
                <w:sz w:val="24"/>
                <w:szCs w:val="24"/>
              </w:rPr>
              <w:t>phương pháp xếp hạng nội bộ</w:t>
            </w:r>
            <w:r w:rsidRPr="00B63314">
              <w:rPr>
                <w:rFonts w:cs="Times New Roman"/>
                <w:sz w:val="24"/>
                <w:szCs w:val="24"/>
              </w:rPr>
              <w:t xml:space="preserve"> khi tính tài sản có rủi ro tín dụng</w:t>
            </w:r>
            <w:r>
              <w:rPr>
                <w:rFonts w:cs="Times New Roman"/>
                <w:sz w:val="24"/>
                <w:szCs w:val="24"/>
              </w:rPr>
              <w:t xml:space="preserve"> khách hàng theo quy định tại khoản 2 Điều 62 Thông tư này.</w:t>
            </w:r>
          </w:p>
        </w:tc>
      </w:tr>
      <w:tr w:rsidR="003171AF" w:rsidRPr="007F4317" w14:paraId="03460E53" w14:textId="77777777" w:rsidTr="00606FDA">
        <w:trPr>
          <w:jc w:val="center"/>
        </w:trPr>
        <w:tc>
          <w:tcPr>
            <w:tcW w:w="992" w:type="dxa"/>
            <w:shd w:val="clear" w:color="auto" w:fill="auto"/>
            <w:vAlign w:val="center"/>
          </w:tcPr>
          <w:p w14:paraId="33441D17" w14:textId="260B7DE1" w:rsidR="003171AF" w:rsidRPr="00B63314" w:rsidRDefault="003171AF" w:rsidP="00CC7D8C">
            <w:pPr>
              <w:spacing w:before="120" w:after="120"/>
              <w:jc w:val="center"/>
              <w:rPr>
                <w:rFonts w:cs="Times New Roman"/>
                <w:sz w:val="24"/>
                <w:szCs w:val="24"/>
              </w:rPr>
            </w:pPr>
            <w:r w:rsidRPr="00B63314">
              <w:rPr>
                <w:rFonts w:cs="Times New Roman"/>
                <w:sz w:val="24"/>
                <w:szCs w:val="24"/>
              </w:rPr>
              <w:t>(3</w:t>
            </w:r>
            <w:r w:rsidR="000F0C84">
              <w:rPr>
                <w:rFonts w:cs="Times New Roman"/>
                <w:sz w:val="24"/>
                <w:szCs w:val="24"/>
              </w:rPr>
              <w:t>0</w:t>
            </w:r>
            <w:r w:rsidRPr="00B63314">
              <w:rPr>
                <w:rFonts w:cs="Times New Roman"/>
                <w:sz w:val="24"/>
                <w:szCs w:val="24"/>
              </w:rPr>
              <w:t>)</w:t>
            </w:r>
          </w:p>
        </w:tc>
        <w:tc>
          <w:tcPr>
            <w:tcW w:w="5186" w:type="dxa"/>
            <w:shd w:val="clear" w:color="auto" w:fill="auto"/>
            <w:vAlign w:val="center"/>
          </w:tcPr>
          <w:p w14:paraId="571CD87E" w14:textId="142C0374" w:rsidR="003171AF" w:rsidRPr="00B63314" w:rsidRDefault="003171AF">
            <w:pPr>
              <w:spacing w:before="120" w:after="120"/>
              <w:jc w:val="both"/>
              <w:rPr>
                <w:rFonts w:cs="Times New Roman"/>
                <w:iCs/>
                <w:sz w:val="24"/>
                <w:szCs w:val="24"/>
              </w:rPr>
            </w:pPr>
            <w:r w:rsidRPr="00B63314">
              <w:rPr>
                <w:rFonts w:cs="Times New Roman"/>
                <w:iCs/>
                <w:sz w:val="24"/>
                <w:szCs w:val="24"/>
              </w:rPr>
              <w:t xml:space="preserve">50% phần chênh lệch dương của tổng mức tổn thất dự kiến so với trích lập dự phòng của danh mục các tài </w:t>
            </w:r>
            <w:r w:rsidR="0073115B" w:rsidRPr="00B63314">
              <w:rPr>
                <w:rFonts w:cs="Times New Roman"/>
                <w:iCs/>
                <w:sz w:val="24"/>
                <w:szCs w:val="24"/>
              </w:rPr>
              <w:t>sản</w:t>
            </w:r>
            <w:r w:rsidR="0073115B">
              <w:rPr>
                <w:rFonts w:cs="Times New Roman"/>
                <w:iCs/>
                <w:sz w:val="24"/>
                <w:szCs w:val="24"/>
              </w:rPr>
              <w:t xml:space="preserve"> được </w:t>
            </w:r>
            <w:r w:rsidR="00E72FA9" w:rsidRPr="00E72FA9">
              <w:rPr>
                <w:rFonts w:cs="Times New Roman"/>
                <w:iCs/>
                <w:sz w:val="24"/>
                <w:szCs w:val="24"/>
              </w:rPr>
              <w:t xml:space="preserve">áp dụng </w:t>
            </w:r>
            <w:r w:rsidR="00904DDB" w:rsidRPr="00904DDB">
              <w:rPr>
                <w:rFonts w:cs="Times New Roman"/>
                <w:iCs/>
                <w:sz w:val="24"/>
                <w:szCs w:val="24"/>
              </w:rPr>
              <w:t>phương pháp xếp hạng nội bộ</w:t>
            </w:r>
          </w:p>
        </w:tc>
        <w:tc>
          <w:tcPr>
            <w:tcW w:w="7598" w:type="dxa"/>
          </w:tcPr>
          <w:p w14:paraId="08AA2B26" w14:textId="778D3861" w:rsidR="003171AF" w:rsidRPr="00B63314" w:rsidRDefault="003171AF" w:rsidP="00CC7D8C">
            <w:pPr>
              <w:spacing w:before="120" w:after="120"/>
              <w:jc w:val="both"/>
              <w:rPr>
                <w:rFonts w:cs="Times New Roman"/>
                <w:iCs/>
                <w:sz w:val="24"/>
                <w:szCs w:val="24"/>
              </w:rPr>
            </w:pPr>
            <w:r w:rsidRPr="00B63314">
              <w:rPr>
                <w:rFonts w:cs="Times New Roman"/>
                <w:iCs/>
                <w:sz w:val="24"/>
                <w:szCs w:val="24"/>
              </w:rPr>
              <w:t xml:space="preserve">Chỉ áp dụng trong vòng 02 năm kể từ ngày được Ngân hàng Nhà nước chấp thuận áp dụng </w:t>
            </w:r>
            <w:r w:rsidR="00904DDB">
              <w:rPr>
                <w:rFonts w:cs="Times New Roman"/>
                <w:iCs/>
                <w:sz w:val="24"/>
                <w:szCs w:val="24"/>
              </w:rPr>
              <w:t>phương pháp xếp hạng nội bộ</w:t>
            </w:r>
            <w:r w:rsidR="00971BA2">
              <w:rPr>
                <w:rFonts w:cs="Times New Roman"/>
                <w:iCs/>
                <w:sz w:val="24"/>
                <w:szCs w:val="24"/>
              </w:rPr>
              <w:t xml:space="preserve"> </w:t>
            </w:r>
            <w:r w:rsidR="00971BA2">
              <w:rPr>
                <w:rFonts w:cs="Times New Roman"/>
                <w:sz w:val="24"/>
                <w:szCs w:val="24"/>
              </w:rPr>
              <w:t xml:space="preserve">theo quy định tại khoản 1 Điều </w:t>
            </w:r>
            <w:r w:rsidR="005D174C">
              <w:rPr>
                <w:rFonts w:cs="Times New Roman"/>
                <w:sz w:val="24"/>
                <w:szCs w:val="24"/>
              </w:rPr>
              <w:t>62</w:t>
            </w:r>
            <w:r w:rsidR="00971BA2">
              <w:rPr>
                <w:rFonts w:cs="Times New Roman"/>
                <w:sz w:val="24"/>
                <w:szCs w:val="24"/>
              </w:rPr>
              <w:t xml:space="preserve"> Thông tư này.</w:t>
            </w:r>
            <w:r w:rsidR="004F4BD4">
              <w:rPr>
                <w:rFonts w:cs="Times New Roman"/>
                <w:sz w:val="24"/>
                <w:szCs w:val="24"/>
              </w:rPr>
              <w:t xml:space="preserve"> </w:t>
            </w:r>
            <w:r w:rsidR="004F4BD4" w:rsidRPr="00160DD8">
              <w:rPr>
                <w:rFonts w:cs="Times New Roman"/>
                <w:sz w:val="24"/>
                <w:szCs w:val="24"/>
              </w:rPr>
              <w:t xml:space="preserve">Kể từ năm thứ </w:t>
            </w:r>
            <w:r w:rsidR="00A23B06">
              <w:rPr>
                <w:rFonts w:cs="Times New Roman"/>
                <w:sz w:val="24"/>
                <w:szCs w:val="24"/>
              </w:rPr>
              <w:t>ba</w:t>
            </w:r>
            <w:r w:rsidR="004F4BD4" w:rsidRPr="00160DD8">
              <w:rPr>
                <w:rFonts w:cs="Times New Roman"/>
                <w:sz w:val="24"/>
                <w:szCs w:val="24"/>
              </w:rPr>
              <w:t xml:space="preserve"> trở đi, không áp dụng khoản mục này.</w:t>
            </w:r>
          </w:p>
        </w:tc>
      </w:tr>
      <w:tr w:rsidR="003171AF" w:rsidRPr="007F4317" w14:paraId="60D9F94B" w14:textId="77777777" w:rsidTr="00606FDA">
        <w:trPr>
          <w:jc w:val="center"/>
        </w:trPr>
        <w:tc>
          <w:tcPr>
            <w:tcW w:w="992" w:type="dxa"/>
            <w:shd w:val="clear" w:color="auto" w:fill="auto"/>
            <w:vAlign w:val="center"/>
          </w:tcPr>
          <w:p w14:paraId="31A03E80" w14:textId="7FB8D244" w:rsidR="003171AF" w:rsidRPr="00B63314" w:rsidRDefault="003171AF" w:rsidP="00CC7D8C">
            <w:pPr>
              <w:spacing w:before="120" w:after="120"/>
              <w:jc w:val="center"/>
              <w:rPr>
                <w:rFonts w:cs="Times New Roman"/>
                <w:sz w:val="24"/>
                <w:szCs w:val="24"/>
              </w:rPr>
            </w:pPr>
            <w:r w:rsidRPr="00B63314">
              <w:rPr>
                <w:rFonts w:cs="Times New Roman"/>
                <w:sz w:val="24"/>
                <w:szCs w:val="24"/>
              </w:rPr>
              <w:lastRenderedPageBreak/>
              <w:t>(3</w:t>
            </w:r>
            <w:r w:rsidR="000F0C84">
              <w:rPr>
                <w:rFonts w:cs="Times New Roman"/>
                <w:sz w:val="24"/>
                <w:szCs w:val="24"/>
              </w:rPr>
              <w:t>1</w:t>
            </w:r>
            <w:r w:rsidRPr="00B63314">
              <w:rPr>
                <w:rFonts w:cs="Times New Roman"/>
                <w:sz w:val="24"/>
                <w:szCs w:val="24"/>
              </w:rPr>
              <w:t>)</w:t>
            </w:r>
          </w:p>
        </w:tc>
        <w:tc>
          <w:tcPr>
            <w:tcW w:w="5186" w:type="dxa"/>
            <w:shd w:val="clear" w:color="auto" w:fill="auto"/>
            <w:vAlign w:val="center"/>
          </w:tcPr>
          <w:p w14:paraId="6B8A7EC1"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Mua, đầu tư nợ thứ cấp của tổ chức tín dụng, chi nhánh ngân hàng nước ngoài khác phát hành đáp ứng đầy đủ các điều kiện để tính vào vốn cấp 2 của tổ chức tín dụng, chi nhánh ngân hàng nước ngoài đó (không bao gồm nợ thứ cấp nhận làm tài sản bảo đảm, chiết khấu, tái chiết khấu của khách hàng)</w:t>
            </w:r>
          </w:p>
        </w:tc>
        <w:tc>
          <w:tcPr>
            <w:tcW w:w="7598" w:type="dxa"/>
          </w:tcPr>
          <w:p w14:paraId="3B2DA32E" w14:textId="77777777" w:rsidR="003171AF" w:rsidRPr="00B63314" w:rsidRDefault="003171AF" w:rsidP="00CC7D8C">
            <w:pPr>
              <w:spacing w:before="120" w:after="120"/>
              <w:jc w:val="both"/>
              <w:rPr>
                <w:rFonts w:cs="Times New Roman"/>
                <w:sz w:val="24"/>
                <w:szCs w:val="24"/>
              </w:rPr>
            </w:pPr>
            <w:r w:rsidRPr="00B63314">
              <w:rPr>
                <w:rFonts w:cs="Times New Roman"/>
                <w:sz w:val="24"/>
                <w:szCs w:val="24"/>
              </w:rPr>
              <w:t>Bắt đầu từ năm thứ năm trước khi đến hạn thanh toán, mỗi năm tại ngày đầu tiên của năm (tính theo ngày phát hành), giá trị khoản mua, đầu tư nợ thứ cấp của tổ chức tín dụng, chi nhánh ngân hàng nước ngoài khác phát hành đáp ứng đầy đủ các điều kiện để tính vào vốn cấp 2 của tổ chức tín dụng, chi nhánh ngân hàng nước ngoài đó sẽ được khấu trừ 20% của tổng giá mua.</w:t>
            </w:r>
          </w:p>
        </w:tc>
      </w:tr>
      <w:tr w:rsidR="003171AF" w:rsidRPr="007F4317" w14:paraId="5F9B9242" w14:textId="77777777" w:rsidTr="00606FDA">
        <w:trPr>
          <w:jc w:val="center"/>
        </w:trPr>
        <w:tc>
          <w:tcPr>
            <w:tcW w:w="992" w:type="dxa"/>
            <w:shd w:val="clear" w:color="auto" w:fill="auto"/>
            <w:vAlign w:val="center"/>
          </w:tcPr>
          <w:p w14:paraId="253DAD6E" w14:textId="77777777" w:rsidR="003171AF" w:rsidRPr="00B63314" w:rsidRDefault="003171AF" w:rsidP="00CC7D8C">
            <w:pPr>
              <w:spacing w:before="120" w:after="120"/>
              <w:jc w:val="center"/>
              <w:rPr>
                <w:rFonts w:cs="Times New Roman"/>
                <w:sz w:val="24"/>
                <w:szCs w:val="24"/>
              </w:rPr>
            </w:pPr>
          </w:p>
        </w:tc>
        <w:tc>
          <w:tcPr>
            <w:tcW w:w="5186" w:type="dxa"/>
            <w:shd w:val="clear" w:color="auto" w:fill="auto"/>
            <w:vAlign w:val="center"/>
          </w:tcPr>
          <w:p w14:paraId="4A33201D" w14:textId="77777777" w:rsidR="003171AF" w:rsidRPr="00B63314" w:rsidRDefault="003171AF" w:rsidP="00CC7D8C">
            <w:pPr>
              <w:spacing w:before="120" w:after="120"/>
              <w:jc w:val="both"/>
              <w:rPr>
                <w:rFonts w:cs="Times New Roman"/>
                <w:iCs/>
                <w:sz w:val="24"/>
                <w:szCs w:val="24"/>
              </w:rPr>
            </w:pPr>
            <w:r w:rsidRPr="00B63314">
              <w:rPr>
                <w:rFonts w:cs="Times New Roman"/>
                <w:b/>
                <w:bCs/>
                <w:sz w:val="24"/>
                <w:szCs w:val="24"/>
                <w:lang w:val="pt-BR"/>
              </w:rPr>
              <w:t>VỐN TỰ CÓ HỢP NHẤT (C) = (A) + (B)</w:t>
            </w:r>
          </w:p>
        </w:tc>
        <w:tc>
          <w:tcPr>
            <w:tcW w:w="7598" w:type="dxa"/>
          </w:tcPr>
          <w:p w14:paraId="2663D97F" w14:textId="77777777" w:rsidR="003171AF" w:rsidRPr="00B63314" w:rsidRDefault="003171AF" w:rsidP="00CC7D8C">
            <w:pPr>
              <w:spacing w:before="120" w:after="120"/>
              <w:jc w:val="both"/>
              <w:rPr>
                <w:rFonts w:cs="Times New Roman"/>
                <w:sz w:val="24"/>
                <w:szCs w:val="24"/>
              </w:rPr>
            </w:pPr>
          </w:p>
        </w:tc>
      </w:tr>
    </w:tbl>
    <w:p w14:paraId="147E4FB8" w14:textId="77777777" w:rsidR="00CC7D8C" w:rsidRPr="00606FDA" w:rsidRDefault="00CC7D8C" w:rsidP="00606FDA">
      <w:pPr>
        <w:tabs>
          <w:tab w:val="left" w:pos="851"/>
        </w:tabs>
        <w:spacing w:before="120" w:after="120"/>
        <w:jc w:val="both"/>
        <w:rPr>
          <w:rFonts w:cs="Times New Roman"/>
          <w:b/>
          <w:bCs/>
          <w:sz w:val="26"/>
          <w:szCs w:val="28"/>
        </w:rPr>
      </w:pPr>
      <w:bookmarkStart w:id="5" w:name="_Hlk192746475"/>
    </w:p>
    <w:p w14:paraId="7169219E" w14:textId="07D88A2F" w:rsidR="00CC7D8C" w:rsidRPr="00CC7D8C" w:rsidRDefault="00CC7D8C" w:rsidP="00CC7D8C">
      <w:pPr>
        <w:pStyle w:val="ListParagraph"/>
        <w:tabs>
          <w:tab w:val="left" w:pos="993"/>
        </w:tabs>
        <w:spacing w:before="120" w:after="120"/>
        <w:ind w:left="0" w:firstLine="567"/>
        <w:contextualSpacing w:val="0"/>
        <w:jc w:val="both"/>
        <w:rPr>
          <w:rFonts w:cs="Times New Roman"/>
          <w:b/>
          <w:bCs/>
          <w:sz w:val="26"/>
          <w:szCs w:val="28"/>
        </w:rPr>
      </w:pPr>
      <w:r>
        <w:rPr>
          <w:rFonts w:cs="Times New Roman"/>
          <w:b/>
          <w:bCs/>
          <w:sz w:val="26"/>
          <w:szCs w:val="28"/>
        </w:rPr>
        <w:t>III</w:t>
      </w:r>
      <w:r w:rsidRPr="00CC7D8C">
        <w:rPr>
          <w:rFonts w:cs="Times New Roman"/>
          <w:b/>
          <w:bCs/>
          <w:sz w:val="26"/>
          <w:szCs w:val="28"/>
        </w:rPr>
        <w:t>.</w:t>
      </w:r>
      <w:r w:rsidRPr="00CC7D8C">
        <w:rPr>
          <w:rFonts w:cs="Times New Roman"/>
          <w:b/>
          <w:bCs/>
          <w:sz w:val="26"/>
          <w:szCs w:val="28"/>
        </w:rPr>
        <w:tab/>
        <w:t>Công cụ bổ sung vốn cấp 1</w:t>
      </w:r>
    </w:p>
    <w:p w14:paraId="681840F2"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Công cụ bổ sung vốn cấp 1 là công cụ tài chính do ngân hàng thương mại phát hành đáp ứng đầy đủ các điều kiện sau:</w:t>
      </w:r>
    </w:p>
    <w:p w14:paraId="0580823F"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1. Đã phát hành và đã được bên mua nộp tiền thanh toán đầy đủ.</w:t>
      </w:r>
    </w:p>
    <w:p w14:paraId="2E1167CE"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2. Có thứ tự thanh toán sau người gửi tiền, các chủ nợ có bảo đảm, chủ nợ không có bảo đảm và chủ nợ các khoản nợ thứ cấp của ngân hàng thương mại.</w:t>
      </w:r>
    </w:p>
    <w:p w14:paraId="6CC81729" w14:textId="35664204"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 xml:space="preserve">3. Không được </w:t>
      </w:r>
      <w:r w:rsidR="007E55AB">
        <w:rPr>
          <w:rFonts w:cs="Times New Roman"/>
          <w:szCs w:val="28"/>
          <w:lang w:val="nb-NO"/>
        </w:rPr>
        <w:t xml:space="preserve">bảo đảm bằng tài sản hoặc </w:t>
      </w:r>
      <w:r w:rsidRPr="00D62A38">
        <w:rPr>
          <w:rFonts w:cs="Times New Roman"/>
          <w:szCs w:val="28"/>
          <w:lang w:val="nb-NO"/>
        </w:rPr>
        <w:t>bảo lãnh của ngân hàng thương mại phát hành hoặc của bất kỳ bên liên quan của ngân hàng thương mại phát hành; hoặc không có bất kỳ thỏa thuận nào khác khiến chủ sở hữu của công cụ này có quyền ưu tiên về mặt pháp lý hoặc kinh tế so với các chủ nợ của ngân hàng thương mại.</w:t>
      </w:r>
    </w:p>
    <w:p w14:paraId="532D6B1E"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4. Không có ngày đáo hạn và không có điều khoản tăng lãi suất hoặc các ưu đãi khác cho việc mua lại công cụ này.</w:t>
      </w:r>
    </w:p>
    <w:p w14:paraId="1073350B"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5. Công cụ này chỉ được ngân hàng thương mại thực hiện quyền mua lại theo hợp đồng phát hành sau tối thiểu 05 năm kể từ ngày phát hành khi đáp ứng đầy đủ các điều kiện sau:</w:t>
      </w:r>
    </w:p>
    <w:p w14:paraId="2EC6A3FD"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 xml:space="preserve">a) Việc mua lại và việc hoàn trả phần vốn gốc của công cụ phải được Ngân hàng Nhà nước chấp thuận theo quy định của pháp luật; </w:t>
      </w:r>
    </w:p>
    <w:p w14:paraId="158DF535" w14:textId="0731F17E"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lastRenderedPageBreak/>
        <w:t xml:space="preserve">b) Ngân hàng thương mại thay thế công cụ được mua lại bằng nguồn vốn có chất lượng tương đương </w:t>
      </w:r>
      <w:r w:rsidR="007E55AB">
        <w:rPr>
          <w:rFonts w:cs="Times New Roman"/>
          <w:szCs w:val="28"/>
          <w:lang w:val="nb-NO"/>
        </w:rPr>
        <w:t>vốn b</w:t>
      </w:r>
      <w:r w:rsidRPr="00D62A38">
        <w:rPr>
          <w:rFonts w:cs="Times New Roman"/>
          <w:szCs w:val="28"/>
          <w:lang w:val="nb-NO"/>
        </w:rPr>
        <w:t>ổ sung vốn cấp 1 hoặc cao hơn, phù hợp với khả năng sinh lời của ngân hàng thương mại; hoặc ngân hàng thương mại đảm bảo sau khi thực hiện quyền mua lại vẫn tuân thủ các giới hạn, tỷ lệ an toàn theo quy định;</w:t>
      </w:r>
    </w:p>
    <w:p w14:paraId="0204B2FF"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c) Ngân hàng thương mại không được tạo ra kỳ vọng về việc công cụ này chắc chắn sẽ được ngân hàng thương mại thực hiện quyền mua lại và việc hoàn trả phần vốn gốc của công cụ sẽ được chấp thuận.</w:t>
      </w:r>
    </w:p>
    <w:p w14:paraId="095391B8"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6. Công cụ có tính linh hoạt trong việc hủy bỏ chi trả cổ tức, lãi (coupon), cụ thể:</w:t>
      </w:r>
    </w:p>
    <w:p w14:paraId="6609F259"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a) Việc hủy bỏ chi trả cổ tức, lãi của công cụ có thể được thực hiện tại bất kỳ thời điểm nào;</w:t>
      </w:r>
    </w:p>
    <w:p w14:paraId="26A31B23"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b) Việc hủy bỏ các khoản chi trả không được xem là sự kiện vỡ nợ của ngân hàng thương mại;</w:t>
      </w:r>
    </w:p>
    <w:p w14:paraId="5A54DDF6"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c) Được sử dụng khoản cổ tức, lãi đã bị hủy bỏ chi trả để thanh toán các nghĩa vụ khác khi đến hạn;</w:t>
      </w:r>
    </w:p>
    <w:p w14:paraId="04D414D1"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d) Việc hủy bỏ chi trả cổ tức, lãi không ảnh hưởng đến toàn bộ hoạt động của ngân hàng thương mại, trừ ảnh hưởng đến việc phân phối lợi nhuận cho cổ đông phổ thông;</w:t>
      </w:r>
    </w:p>
    <w:p w14:paraId="572F3F5C"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7. Ngân hàng thương mại sử dụng phần lợi nhuận chưa phân phối do ngân hàng thương mại tự quyết định theo quy định pháp luật về chế độ tài chính để chi trả cổ tức, lãi của công cụ này;</w:t>
      </w:r>
    </w:p>
    <w:p w14:paraId="4A9E976B"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8. Việc chi trả cổ tức, lãi của công cụ này không được có đặc tính điều chỉnh theo xếp hạng tín nhiệm của ngân hàng thương mại;</w:t>
      </w:r>
    </w:p>
    <w:p w14:paraId="4123CC65"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9. Không làm gia tăng nghĩa vụ nợ vượt quá tổng tài sản của ngân hàng thương mại trong trường hợp ngân hàng thương mại thực hiện kiểm tra báo cáo tình hình tài chính theo quy định pháp luật về phá sản.</w:t>
      </w:r>
    </w:p>
    <w:p w14:paraId="4F6D3A62" w14:textId="77777777" w:rsidR="00CF38B8" w:rsidRPr="00CF38B8" w:rsidRDefault="00D62A38" w:rsidP="00CF38B8">
      <w:pPr>
        <w:spacing w:before="120" w:after="120"/>
        <w:ind w:firstLine="567"/>
        <w:jc w:val="both"/>
        <w:rPr>
          <w:rFonts w:cs="Times New Roman"/>
          <w:szCs w:val="28"/>
          <w:lang w:val="nb-NO"/>
        </w:rPr>
      </w:pPr>
      <w:r w:rsidRPr="00D62A38">
        <w:rPr>
          <w:rFonts w:cs="Times New Roman"/>
          <w:szCs w:val="28"/>
          <w:lang w:val="nb-NO"/>
        </w:rPr>
        <w:t xml:space="preserve">10. </w:t>
      </w:r>
      <w:r w:rsidR="00CF38B8" w:rsidRPr="00CF38B8">
        <w:rPr>
          <w:rFonts w:cs="Times New Roman"/>
          <w:szCs w:val="28"/>
          <w:lang w:val="nb-NO"/>
        </w:rPr>
        <w:t>Công cụ này được phân loại là khoản nợ cho mục đích hạch toán và phải có cơ chế bù đắp lỗ khi tỷ lệ vốn lõi cấp 1 thấp hơn 5,125%. Thông qua cơ chế bù đắp lỗ, công cụ này được chuyển thành vốn lõi cấp 1 theo chuẩn mực kế toán có liên quan. Ngân hàng thương mại phát hành được thực hiện cơ chế bù đắp lỗ bằng việc chuyển đổi công cụ nợ thành cổ phần hoặc ghi giảm giá trị gốc của công cụ nợ. Việc ghi giảm giá trị gốc của công cụ nợ này dẫn đến:</w:t>
      </w:r>
    </w:p>
    <w:p w14:paraId="50FAB05E" w14:textId="5E4E781B" w:rsidR="00CF38B8" w:rsidRDefault="00CF38B8" w:rsidP="00CF38B8">
      <w:pPr>
        <w:spacing w:before="120" w:after="120"/>
        <w:ind w:firstLine="567"/>
        <w:jc w:val="both"/>
        <w:rPr>
          <w:rFonts w:cs="Times New Roman"/>
          <w:szCs w:val="28"/>
          <w:lang w:val="nb-NO"/>
        </w:rPr>
      </w:pPr>
      <w:r>
        <w:rPr>
          <w:rFonts w:cs="Times New Roman"/>
          <w:szCs w:val="28"/>
          <w:lang w:val="nb-NO"/>
        </w:rPr>
        <w:t xml:space="preserve">a) </w:t>
      </w:r>
      <w:r w:rsidRPr="00CF38B8">
        <w:rPr>
          <w:rFonts w:cs="Times New Roman"/>
          <w:szCs w:val="28"/>
          <w:lang w:val="nb-NO"/>
        </w:rPr>
        <w:t>Giảm số tiền ngân hàng thương mại phát hành thanh toán cho chủ sở hữu công cụ trong trường hợp ngân hàng thương mại phát hành bị thanh lý, giải thể;</w:t>
      </w:r>
    </w:p>
    <w:p w14:paraId="738587E5" w14:textId="62552571" w:rsidR="00D62A38" w:rsidRPr="00D62A38" w:rsidRDefault="00D62A38" w:rsidP="00CF38B8">
      <w:pPr>
        <w:spacing w:before="120" w:after="120"/>
        <w:ind w:firstLine="567"/>
        <w:jc w:val="both"/>
        <w:rPr>
          <w:rFonts w:cs="Times New Roman"/>
          <w:szCs w:val="28"/>
          <w:lang w:val="nb-NO"/>
        </w:rPr>
      </w:pPr>
      <w:r w:rsidRPr="00D62A38">
        <w:rPr>
          <w:rFonts w:cs="Times New Roman"/>
          <w:szCs w:val="28"/>
          <w:lang w:val="nb-NO"/>
        </w:rPr>
        <w:lastRenderedPageBreak/>
        <w:t>b) Giảm số tiền ngân hàng thương mại thanh toán cho chủ sở hữu công cụ trong trường hợp công cụ được mua lại;</w:t>
      </w:r>
    </w:p>
    <w:p w14:paraId="64BB4E9B"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c) Giảm một phần hoặc toàn bộ các khoản chi trả cổ tức, lãi liên quan đến công cụ đó.</w:t>
      </w:r>
    </w:p>
    <w:p w14:paraId="00C3783D" w14:textId="4724D5E4"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 xml:space="preserve">11. </w:t>
      </w:r>
      <w:r w:rsidR="0062765D" w:rsidRPr="0062765D">
        <w:rPr>
          <w:rFonts w:cs="Times New Roman"/>
          <w:szCs w:val="28"/>
          <w:lang w:val="nb-NO"/>
        </w:rPr>
        <w:t>Trường hợp ngân hàng thương mại phát hành thực hiện cơ chế bù đắp lỗ theo quy định tại điểm 10 Mục này, ngân hàng thương mại phát hành phải đảm bảo</w:t>
      </w:r>
      <w:r w:rsidRPr="00D62A38">
        <w:rPr>
          <w:rFonts w:cs="Times New Roman"/>
          <w:szCs w:val="28"/>
          <w:lang w:val="nb-NO"/>
        </w:rPr>
        <w:t>:</w:t>
      </w:r>
    </w:p>
    <w:p w14:paraId="65E86D29"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 xml:space="preserve">a) Tổng số tiền ghi giảm giá trị, chuyển đổi tối thiểu phải đủ để đưa tỷ lệ vốn lõi cấp 1 của ngân hàng thương mại lên mức 5,125%; </w:t>
      </w:r>
    </w:p>
    <w:p w14:paraId="20B0B628"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b) Nếu không thực hiện được điểm 11a nêu trên, ngân hàng thương mại phải ghi giảm toàn bộ giá trị gốc của công cụ đó.</w:t>
      </w:r>
    </w:p>
    <w:p w14:paraId="3648EFED" w14:textId="77777777" w:rsidR="00D62A38" w:rsidRPr="00D62A38" w:rsidRDefault="00D62A38" w:rsidP="00D62A38">
      <w:pPr>
        <w:spacing w:before="120" w:after="120"/>
        <w:ind w:firstLine="567"/>
        <w:jc w:val="both"/>
        <w:rPr>
          <w:rFonts w:cs="Times New Roman"/>
          <w:szCs w:val="28"/>
          <w:lang w:val="nb-NO"/>
        </w:rPr>
      </w:pPr>
      <w:r w:rsidRPr="00D62A38">
        <w:rPr>
          <w:rFonts w:cs="Times New Roman"/>
          <w:szCs w:val="28"/>
          <w:lang w:val="nb-NO"/>
        </w:rPr>
        <w:t>12. Ngân hàng thương mại, công ty con, công ty liên kết của ngân hàng thương mại không được mua công cụ bổ sung vốn cấp 1. Ngân hàng thương mại không được cấp tín dụng để mua công cụ này.</w:t>
      </w:r>
    </w:p>
    <w:p w14:paraId="1806CF7E" w14:textId="303500C6" w:rsidR="00CC7D8C" w:rsidRPr="00606FDA" w:rsidRDefault="00D62A38" w:rsidP="00606FDA">
      <w:pPr>
        <w:spacing w:before="120" w:after="120"/>
        <w:ind w:firstLine="567"/>
        <w:jc w:val="both"/>
        <w:rPr>
          <w:rFonts w:cs="Times New Roman"/>
          <w:sz w:val="26"/>
          <w:szCs w:val="28"/>
        </w:rPr>
      </w:pPr>
      <w:r w:rsidRPr="00D62A38">
        <w:rPr>
          <w:rFonts w:cs="Times New Roman"/>
          <w:szCs w:val="28"/>
          <w:lang w:val="nb-NO"/>
        </w:rPr>
        <w:t>13. Không có điều khoản cản trở việc tăng vốn của ngân hàng thương mại, như điều khoản yêu cầu ngân hàng thương mại phát hành phải bồi thường cho chủ sở hữu của công cụ trước đó trong trường hợp một công cụ mới được phát hành với mức giá thấp hơn công cụ trước đó trong một khoảng thời gian xác định kể từ thời điểm phát hành công cụ trước đó.</w:t>
      </w:r>
      <w:r w:rsidRPr="00D62A38" w:rsidDel="00D62A38">
        <w:rPr>
          <w:rFonts w:cs="Times New Roman"/>
          <w:szCs w:val="28"/>
          <w:lang w:val="nb-NO"/>
        </w:rPr>
        <w:t xml:space="preserve"> </w:t>
      </w:r>
    </w:p>
    <w:p w14:paraId="3C298B41" w14:textId="73608666" w:rsidR="003171AF" w:rsidRPr="00F432D4" w:rsidRDefault="003171AF" w:rsidP="00CC7D8C">
      <w:pPr>
        <w:pStyle w:val="ListParagraph"/>
        <w:numPr>
          <w:ilvl w:val="0"/>
          <w:numId w:val="2"/>
        </w:numPr>
        <w:tabs>
          <w:tab w:val="left" w:pos="851"/>
        </w:tabs>
        <w:spacing w:before="120" w:after="120"/>
        <w:ind w:left="0" w:firstLine="567"/>
        <w:contextualSpacing w:val="0"/>
        <w:jc w:val="both"/>
        <w:rPr>
          <w:rFonts w:cs="Times New Roman"/>
          <w:b/>
          <w:bCs/>
          <w:sz w:val="26"/>
          <w:szCs w:val="28"/>
        </w:rPr>
      </w:pPr>
      <w:r w:rsidRPr="00F432D4">
        <w:rPr>
          <w:rFonts w:cs="Times New Roman"/>
          <w:b/>
          <w:bCs/>
          <w:sz w:val="26"/>
          <w:szCs w:val="28"/>
          <w:lang w:val="pt-BR"/>
        </w:rPr>
        <w:t>Cấu phần và cách xác định để tính vốn tự có của chi nhánh ngân hàng nước ngoài:</w:t>
      </w:r>
    </w:p>
    <w:p w14:paraId="20D010E9" w14:textId="77777777" w:rsidR="003171AF" w:rsidRDefault="003171AF" w:rsidP="00CC7D8C">
      <w:pPr>
        <w:spacing w:before="120" w:after="120"/>
        <w:ind w:firstLine="567"/>
        <w:rPr>
          <w:rFonts w:cs="Times New Roman"/>
          <w:sz w:val="26"/>
          <w:szCs w:val="28"/>
        </w:rPr>
      </w:pPr>
      <w:r w:rsidRPr="00F432D4">
        <w:rPr>
          <w:rFonts w:cs="Times New Roman"/>
          <w:sz w:val="26"/>
          <w:szCs w:val="28"/>
        </w:rPr>
        <w:t>Chi nhánh ngân hàng nước ngoài căn cứ vào các cấu phần quy định dưới đây, quy định của pháp luật về chế độ tài chính đối với tổ chức tín dụng, chi nhánh ngân hàng nước ngoài và khoản mục tài sản của mình để xác định Vốn tự có cho phù hợp.</w:t>
      </w:r>
    </w:p>
    <w:tbl>
      <w:tblPr>
        <w:tblW w:w="475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A0" w:firstRow="1" w:lastRow="0" w:firstColumn="1" w:lastColumn="0" w:noHBand="0" w:noVBand="0"/>
      </w:tblPr>
      <w:tblGrid>
        <w:gridCol w:w="978"/>
        <w:gridCol w:w="5411"/>
        <w:gridCol w:w="7456"/>
      </w:tblGrid>
      <w:tr w:rsidR="003171AF" w:rsidRPr="009948F3" w14:paraId="21410E19" w14:textId="77777777" w:rsidTr="00FF2701">
        <w:trPr>
          <w:tblHeader/>
          <w:jc w:val="center"/>
        </w:trPr>
        <w:tc>
          <w:tcPr>
            <w:tcW w:w="911" w:type="dxa"/>
            <w:shd w:val="clear" w:color="auto" w:fill="auto"/>
            <w:vAlign w:val="center"/>
          </w:tcPr>
          <w:p w14:paraId="69257B61" w14:textId="77777777" w:rsidR="003171AF" w:rsidRPr="00EF5441" w:rsidRDefault="003171AF" w:rsidP="00CC7D8C">
            <w:pPr>
              <w:spacing w:before="120" w:after="120"/>
              <w:jc w:val="center"/>
              <w:rPr>
                <w:rFonts w:cs="Times New Roman"/>
                <w:b/>
                <w:bCs/>
                <w:sz w:val="24"/>
                <w:szCs w:val="24"/>
              </w:rPr>
            </w:pPr>
            <w:r w:rsidRPr="00EF5441">
              <w:rPr>
                <w:rFonts w:cs="Times New Roman"/>
                <w:b/>
                <w:bCs/>
                <w:sz w:val="24"/>
                <w:szCs w:val="24"/>
              </w:rPr>
              <w:t>Mục</w:t>
            </w:r>
          </w:p>
        </w:tc>
        <w:tc>
          <w:tcPr>
            <w:tcW w:w="5040" w:type="dxa"/>
            <w:shd w:val="clear" w:color="auto" w:fill="auto"/>
            <w:noWrap/>
            <w:vAlign w:val="bottom"/>
          </w:tcPr>
          <w:p w14:paraId="5DFB360B" w14:textId="77777777" w:rsidR="003171AF" w:rsidRPr="00EF5441" w:rsidRDefault="003171AF" w:rsidP="00CC7D8C">
            <w:pPr>
              <w:spacing w:before="120" w:after="120"/>
              <w:jc w:val="center"/>
              <w:rPr>
                <w:rFonts w:cs="Times New Roman"/>
                <w:b/>
                <w:bCs/>
                <w:sz w:val="24"/>
                <w:szCs w:val="24"/>
              </w:rPr>
            </w:pPr>
            <w:r w:rsidRPr="00EF5441">
              <w:rPr>
                <w:rFonts w:cs="Times New Roman"/>
                <w:b/>
                <w:bCs/>
                <w:sz w:val="24"/>
                <w:szCs w:val="24"/>
              </w:rPr>
              <w:t>Cấu phần</w:t>
            </w:r>
          </w:p>
        </w:tc>
        <w:tc>
          <w:tcPr>
            <w:tcW w:w="6945" w:type="dxa"/>
          </w:tcPr>
          <w:p w14:paraId="09551CDD" w14:textId="77777777" w:rsidR="003171AF" w:rsidRPr="00EF5441" w:rsidRDefault="003171AF" w:rsidP="00CC7D8C">
            <w:pPr>
              <w:spacing w:before="120" w:after="120"/>
              <w:jc w:val="center"/>
              <w:rPr>
                <w:rFonts w:cs="Times New Roman"/>
                <w:b/>
                <w:bCs/>
                <w:sz w:val="24"/>
                <w:szCs w:val="24"/>
              </w:rPr>
            </w:pPr>
            <w:r w:rsidRPr="00EF5441">
              <w:rPr>
                <w:rFonts w:cs="Times New Roman"/>
                <w:b/>
                <w:bCs/>
                <w:sz w:val="24"/>
                <w:szCs w:val="24"/>
              </w:rPr>
              <w:t>Cách xác định</w:t>
            </w:r>
          </w:p>
        </w:tc>
      </w:tr>
      <w:tr w:rsidR="003171AF" w:rsidRPr="009948F3" w14:paraId="73545656" w14:textId="77777777" w:rsidTr="00FF2701">
        <w:trPr>
          <w:jc w:val="center"/>
        </w:trPr>
        <w:tc>
          <w:tcPr>
            <w:tcW w:w="911" w:type="dxa"/>
            <w:shd w:val="clear" w:color="auto" w:fill="auto"/>
            <w:noWrap/>
            <w:vAlign w:val="center"/>
          </w:tcPr>
          <w:p w14:paraId="57C69751" w14:textId="77777777" w:rsidR="003171AF" w:rsidRPr="00EF5441" w:rsidRDefault="003171AF" w:rsidP="00CC7D8C">
            <w:pPr>
              <w:spacing w:before="120" w:after="120"/>
              <w:jc w:val="center"/>
              <w:rPr>
                <w:rFonts w:cs="Times New Roman"/>
                <w:sz w:val="24"/>
                <w:szCs w:val="24"/>
              </w:rPr>
            </w:pPr>
          </w:p>
        </w:tc>
        <w:tc>
          <w:tcPr>
            <w:tcW w:w="5040" w:type="dxa"/>
            <w:shd w:val="clear" w:color="auto" w:fill="auto"/>
            <w:vAlign w:val="center"/>
          </w:tcPr>
          <w:p w14:paraId="78A7EE24" w14:textId="77777777" w:rsidR="003171AF" w:rsidRPr="00EF5441" w:rsidRDefault="003171AF" w:rsidP="00CC7D8C">
            <w:pPr>
              <w:spacing w:before="120" w:after="120"/>
              <w:jc w:val="both"/>
              <w:rPr>
                <w:rFonts w:cs="Times New Roman"/>
                <w:b/>
                <w:bCs/>
                <w:i/>
                <w:iCs/>
                <w:sz w:val="24"/>
                <w:szCs w:val="24"/>
                <w:lang w:val="pt-BR"/>
              </w:rPr>
            </w:pPr>
            <w:r w:rsidRPr="00EF5441">
              <w:rPr>
                <w:rFonts w:cs="Times New Roman"/>
                <w:b/>
                <w:bCs/>
                <w:i/>
                <w:iCs/>
                <w:sz w:val="24"/>
                <w:szCs w:val="24"/>
                <w:lang w:val="pt-BR"/>
              </w:rPr>
              <w:t xml:space="preserve">VỐN CẤP 1 (A) = A1 </w:t>
            </w:r>
          </w:p>
        </w:tc>
        <w:tc>
          <w:tcPr>
            <w:tcW w:w="6945" w:type="dxa"/>
          </w:tcPr>
          <w:p w14:paraId="5D67D49C" w14:textId="77777777" w:rsidR="003171AF" w:rsidRPr="00EF5441" w:rsidRDefault="003171AF" w:rsidP="00CC7D8C">
            <w:pPr>
              <w:spacing w:before="120" w:after="120"/>
              <w:jc w:val="both"/>
              <w:rPr>
                <w:rFonts w:cs="Times New Roman"/>
                <w:sz w:val="24"/>
                <w:szCs w:val="24"/>
                <w:lang w:val="pt-BR"/>
              </w:rPr>
            </w:pPr>
          </w:p>
        </w:tc>
      </w:tr>
      <w:tr w:rsidR="003171AF" w:rsidRPr="009948F3" w14:paraId="42ED93FD" w14:textId="77777777" w:rsidTr="00FF2701">
        <w:trPr>
          <w:jc w:val="center"/>
        </w:trPr>
        <w:tc>
          <w:tcPr>
            <w:tcW w:w="911" w:type="dxa"/>
            <w:shd w:val="clear" w:color="auto" w:fill="auto"/>
            <w:noWrap/>
            <w:vAlign w:val="center"/>
          </w:tcPr>
          <w:p w14:paraId="05811024" w14:textId="77777777" w:rsidR="003171AF" w:rsidRPr="00EF5441" w:rsidRDefault="003171AF" w:rsidP="00CC7D8C">
            <w:pPr>
              <w:spacing w:before="120" w:after="120"/>
              <w:jc w:val="center"/>
              <w:rPr>
                <w:rFonts w:cs="Times New Roman"/>
                <w:sz w:val="24"/>
                <w:szCs w:val="24"/>
                <w:lang w:val="pt-BR"/>
              </w:rPr>
            </w:pPr>
          </w:p>
        </w:tc>
        <w:tc>
          <w:tcPr>
            <w:tcW w:w="5040" w:type="dxa"/>
            <w:shd w:val="clear" w:color="auto" w:fill="auto"/>
            <w:vAlign w:val="center"/>
          </w:tcPr>
          <w:p w14:paraId="4354E1F6" w14:textId="77777777" w:rsidR="003171AF" w:rsidRPr="00EF5441" w:rsidRDefault="003171AF" w:rsidP="00CC7D8C">
            <w:pPr>
              <w:spacing w:before="120" w:after="120"/>
              <w:jc w:val="both"/>
              <w:rPr>
                <w:rFonts w:cs="Times New Roman"/>
                <w:b/>
                <w:bCs/>
                <w:i/>
                <w:iCs/>
                <w:sz w:val="24"/>
                <w:szCs w:val="24"/>
                <w:lang w:val="pt-BR"/>
              </w:rPr>
            </w:pPr>
            <w:r w:rsidRPr="00EF5441">
              <w:rPr>
                <w:rFonts w:cs="Times New Roman"/>
                <w:b/>
                <w:bCs/>
                <w:i/>
                <w:iCs/>
                <w:sz w:val="24"/>
                <w:szCs w:val="24"/>
                <w:lang w:val="pt-BR"/>
              </w:rPr>
              <w:t xml:space="preserve">Vốn </w:t>
            </w:r>
            <w:r>
              <w:rPr>
                <w:rFonts w:cs="Times New Roman"/>
                <w:b/>
                <w:bCs/>
                <w:i/>
                <w:iCs/>
                <w:sz w:val="24"/>
                <w:szCs w:val="24"/>
                <w:lang w:val="pt-BR"/>
              </w:rPr>
              <w:t xml:space="preserve">lõi </w:t>
            </w:r>
            <w:r w:rsidRPr="00EF5441">
              <w:rPr>
                <w:rFonts w:cs="Times New Roman"/>
                <w:b/>
                <w:bCs/>
                <w:i/>
                <w:iCs/>
                <w:sz w:val="24"/>
                <w:szCs w:val="24"/>
                <w:lang w:val="pt-BR"/>
              </w:rPr>
              <w:t>cấp 1</w:t>
            </w:r>
            <w:r>
              <w:rPr>
                <w:rFonts w:cs="Times New Roman"/>
                <w:b/>
                <w:bCs/>
                <w:i/>
                <w:iCs/>
                <w:sz w:val="24"/>
                <w:szCs w:val="24"/>
                <w:lang w:val="pt-BR"/>
              </w:rPr>
              <w:t xml:space="preserve"> (A1)=A11-A12</w:t>
            </w:r>
          </w:p>
        </w:tc>
        <w:tc>
          <w:tcPr>
            <w:tcW w:w="6945" w:type="dxa"/>
          </w:tcPr>
          <w:p w14:paraId="2A6D6CA4" w14:textId="77777777" w:rsidR="003171AF" w:rsidRPr="00EF5441" w:rsidRDefault="003171AF" w:rsidP="00CC7D8C">
            <w:pPr>
              <w:spacing w:before="120" w:after="120"/>
              <w:jc w:val="both"/>
              <w:rPr>
                <w:rFonts w:cs="Times New Roman"/>
                <w:b/>
                <w:bCs/>
                <w:sz w:val="24"/>
                <w:szCs w:val="24"/>
                <w:lang w:val="pt-BR"/>
              </w:rPr>
            </w:pPr>
          </w:p>
        </w:tc>
      </w:tr>
      <w:tr w:rsidR="003171AF" w:rsidRPr="009948F3" w14:paraId="66B51085" w14:textId="77777777" w:rsidTr="00FF2701">
        <w:trPr>
          <w:jc w:val="center"/>
        </w:trPr>
        <w:tc>
          <w:tcPr>
            <w:tcW w:w="911" w:type="dxa"/>
            <w:shd w:val="clear" w:color="auto" w:fill="auto"/>
            <w:noWrap/>
            <w:vAlign w:val="center"/>
          </w:tcPr>
          <w:p w14:paraId="2F532488" w14:textId="77777777" w:rsidR="003171AF" w:rsidRPr="00EF5441" w:rsidRDefault="003171AF" w:rsidP="00CC7D8C">
            <w:pPr>
              <w:spacing w:before="120" w:after="120"/>
              <w:jc w:val="center"/>
              <w:rPr>
                <w:rFonts w:cs="Times New Roman"/>
                <w:sz w:val="24"/>
                <w:szCs w:val="24"/>
                <w:lang w:val="pt-BR"/>
              </w:rPr>
            </w:pPr>
          </w:p>
        </w:tc>
        <w:tc>
          <w:tcPr>
            <w:tcW w:w="5040" w:type="dxa"/>
            <w:shd w:val="clear" w:color="auto" w:fill="auto"/>
            <w:vAlign w:val="center"/>
          </w:tcPr>
          <w:p w14:paraId="23AD4428" w14:textId="135D53AB" w:rsidR="003171AF" w:rsidRPr="00EF5441" w:rsidRDefault="003171AF" w:rsidP="00CC7D8C">
            <w:pPr>
              <w:spacing w:before="120" w:after="120"/>
              <w:jc w:val="both"/>
              <w:rPr>
                <w:rFonts w:cs="Times New Roman"/>
                <w:b/>
                <w:bCs/>
                <w:i/>
                <w:iCs/>
                <w:sz w:val="24"/>
                <w:szCs w:val="24"/>
                <w:lang w:val="pt-BR"/>
              </w:rPr>
            </w:pPr>
            <w:r w:rsidRPr="00EF5441">
              <w:rPr>
                <w:rFonts w:cs="Times New Roman"/>
                <w:b/>
                <w:bCs/>
                <w:i/>
                <w:iCs/>
                <w:sz w:val="24"/>
                <w:szCs w:val="24"/>
                <w:lang w:val="pt-BR"/>
              </w:rPr>
              <w:t xml:space="preserve">Vốn </w:t>
            </w:r>
            <w:r>
              <w:rPr>
                <w:rFonts w:cs="Times New Roman"/>
                <w:b/>
                <w:bCs/>
                <w:i/>
                <w:iCs/>
                <w:sz w:val="24"/>
                <w:szCs w:val="24"/>
                <w:lang w:val="pt-BR"/>
              </w:rPr>
              <w:t xml:space="preserve">lõi </w:t>
            </w:r>
            <w:r w:rsidRPr="00EF5441">
              <w:rPr>
                <w:rFonts w:cs="Times New Roman"/>
                <w:b/>
                <w:bCs/>
                <w:i/>
                <w:iCs/>
                <w:sz w:val="24"/>
                <w:szCs w:val="24"/>
                <w:lang w:val="pt-BR"/>
              </w:rPr>
              <w:t>cấp 1 chưa giảm trừ (A1</w:t>
            </w:r>
            <w:r>
              <w:rPr>
                <w:rFonts w:cs="Times New Roman"/>
                <w:b/>
                <w:bCs/>
                <w:i/>
                <w:iCs/>
                <w:sz w:val="24"/>
                <w:szCs w:val="24"/>
                <w:lang w:val="pt-BR"/>
              </w:rPr>
              <w:t>1</w:t>
            </w:r>
            <w:r w:rsidRPr="00EF5441">
              <w:rPr>
                <w:rFonts w:cs="Times New Roman"/>
                <w:b/>
                <w:bCs/>
                <w:i/>
                <w:iCs/>
                <w:sz w:val="24"/>
                <w:szCs w:val="24"/>
                <w:lang w:val="pt-BR"/>
              </w:rPr>
              <w:t>)=</w:t>
            </w:r>
            <w:r w:rsidRPr="00EF5441">
              <w:rPr>
                <w:rFonts w:cs="Times New Roman"/>
                <w:b/>
                <w:bCs/>
                <w:color w:val="000000"/>
                <w:sz w:val="24"/>
                <w:szCs w:val="24"/>
                <w:shd w:val="clear" w:color="auto" w:fill="FFFFFF"/>
                <w:lang w:val="pt-BR"/>
              </w:rPr>
              <w:t xml:space="preserve"> </w:t>
            </w:r>
            <w:r w:rsidRPr="00EF5441">
              <w:rPr>
                <w:rFonts w:cs="Times New Roman"/>
                <w:b/>
                <w:bCs/>
                <w:i/>
                <w:iCs/>
                <w:sz w:val="24"/>
                <w:szCs w:val="24"/>
                <w:lang w:val="pt-BR"/>
              </w:rPr>
              <w:t>∑</w:t>
            </w:r>
            <w:r w:rsidR="006916FF">
              <w:rPr>
                <w:rFonts w:cs="Times New Roman"/>
                <w:b/>
                <w:bCs/>
                <w:i/>
                <w:iCs/>
                <w:sz w:val="24"/>
                <w:szCs w:val="24"/>
                <w:lang w:val="pt-BR"/>
              </w:rPr>
              <w:t>(</w:t>
            </w:r>
            <w:r w:rsidRPr="00EF5441">
              <w:rPr>
                <w:rFonts w:cs="Times New Roman"/>
                <w:b/>
                <w:bCs/>
                <w:i/>
                <w:iCs/>
                <w:sz w:val="24"/>
                <w:szCs w:val="24"/>
                <w:lang w:val="pt-BR"/>
              </w:rPr>
              <w:t>1</w:t>
            </w:r>
            <w:r w:rsidR="006916FF">
              <w:rPr>
                <w:rFonts w:cs="Times New Roman"/>
                <w:b/>
                <w:bCs/>
                <w:i/>
                <w:iCs/>
                <w:sz w:val="24"/>
                <w:szCs w:val="24"/>
                <w:lang w:val="pt-BR"/>
              </w:rPr>
              <w:t>)</w:t>
            </w:r>
            <w:r w:rsidRPr="00EF5441">
              <w:rPr>
                <w:rFonts w:cs="Times New Roman"/>
                <w:b/>
                <w:bCs/>
                <w:i/>
                <w:iCs/>
                <w:sz w:val="24"/>
                <w:szCs w:val="24"/>
                <w:lang w:val="pt-BR"/>
              </w:rPr>
              <w:t xml:space="preserve"> ÷ </w:t>
            </w:r>
            <w:r w:rsidR="006916FF">
              <w:rPr>
                <w:rFonts w:cs="Times New Roman"/>
                <w:b/>
                <w:bCs/>
                <w:i/>
                <w:iCs/>
                <w:sz w:val="24"/>
                <w:szCs w:val="24"/>
                <w:lang w:val="pt-BR"/>
              </w:rPr>
              <w:t>(</w:t>
            </w:r>
            <w:r>
              <w:rPr>
                <w:rFonts w:cs="Times New Roman"/>
                <w:b/>
                <w:bCs/>
                <w:i/>
                <w:iCs/>
                <w:sz w:val="24"/>
                <w:szCs w:val="24"/>
                <w:lang w:val="pt-BR"/>
              </w:rPr>
              <w:t>9</w:t>
            </w:r>
            <w:r w:rsidR="006916FF">
              <w:rPr>
                <w:rFonts w:cs="Times New Roman"/>
                <w:b/>
                <w:bCs/>
                <w:i/>
                <w:iCs/>
                <w:sz w:val="24"/>
                <w:szCs w:val="24"/>
                <w:lang w:val="pt-BR"/>
              </w:rPr>
              <w:t>)</w:t>
            </w:r>
          </w:p>
        </w:tc>
        <w:tc>
          <w:tcPr>
            <w:tcW w:w="6945" w:type="dxa"/>
          </w:tcPr>
          <w:p w14:paraId="491C88B3" w14:textId="77777777" w:rsidR="003171AF" w:rsidRPr="00EF5441" w:rsidRDefault="003171AF" w:rsidP="00CC7D8C">
            <w:pPr>
              <w:spacing w:before="120" w:after="120"/>
              <w:jc w:val="both"/>
              <w:rPr>
                <w:rFonts w:cs="Times New Roman"/>
                <w:b/>
                <w:bCs/>
                <w:sz w:val="24"/>
                <w:szCs w:val="24"/>
                <w:lang w:val="pt-BR"/>
              </w:rPr>
            </w:pPr>
          </w:p>
        </w:tc>
      </w:tr>
      <w:tr w:rsidR="003171AF" w:rsidRPr="009948F3" w14:paraId="140C25F5" w14:textId="77777777" w:rsidTr="00FF2701">
        <w:trPr>
          <w:jc w:val="center"/>
        </w:trPr>
        <w:tc>
          <w:tcPr>
            <w:tcW w:w="911" w:type="dxa"/>
            <w:shd w:val="clear" w:color="auto" w:fill="auto"/>
            <w:vAlign w:val="center"/>
          </w:tcPr>
          <w:p w14:paraId="4B47A1D2"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(1)</w:t>
            </w:r>
          </w:p>
        </w:tc>
        <w:tc>
          <w:tcPr>
            <w:tcW w:w="5040" w:type="dxa"/>
            <w:shd w:val="clear" w:color="auto" w:fill="auto"/>
            <w:vAlign w:val="center"/>
          </w:tcPr>
          <w:p w14:paraId="1617D786"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Vốn </w:t>
            </w:r>
            <w:r>
              <w:rPr>
                <w:rFonts w:cs="Times New Roman"/>
                <w:sz w:val="24"/>
                <w:szCs w:val="24"/>
              </w:rPr>
              <w:t>đã được cấp</w:t>
            </w:r>
          </w:p>
        </w:tc>
        <w:tc>
          <w:tcPr>
            <w:tcW w:w="6945" w:type="dxa"/>
          </w:tcPr>
          <w:p w14:paraId="2BB3E82D" w14:textId="7E5F787F" w:rsidR="003171AF" w:rsidRPr="00EF5441" w:rsidRDefault="003171AF" w:rsidP="00CC7D8C">
            <w:pPr>
              <w:spacing w:before="120" w:after="120"/>
              <w:jc w:val="both"/>
              <w:rPr>
                <w:rFonts w:cs="Times New Roman"/>
                <w:sz w:val="24"/>
                <w:szCs w:val="24"/>
              </w:rPr>
            </w:pPr>
            <w:r w:rsidRPr="00EF5441">
              <w:rPr>
                <w:rFonts w:cs="Times New Roman"/>
                <w:sz w:val="24"/>
                <w:szCs w:val="24"/>
              </w:rPr>
              <w:t>Lấy số liệu tại khoản mục</w:t>
            </w:r>
            <w:r w:rsidRPr="00EF5441">
              <w:rPr>
                <w:rFonts w:cs="Times New Roman"/>
                <w:b/>
                <w:bCs/>
                <w:sz w:val="24"/>
                <w:szCs w:val="24"/>
              </w:rPr>
              <w:t> Vốn điều lệ</w:t>
            </w:r>
            <w:r w:rsidRPr="00EF5441">
              <w:rPr>
                <w:rFonts w:cs="Times New Roman"/>
                <w:sz w:val="24"/>
                <w:szCs w:val="24"/>
              </w:rPr>
              <w:t> trên Báo cáo tình hình tài chính được lập theo số liệu Bảng cân đối tài khoản kế toán.</w:t>
            </w:r>
          </w:p>
          <w:p w14:paraId="2FDEDE8A"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lastRenderedPageBreak/>
              <w:t xml:space="preserve">Đối với </w:t>
            </w:r>
            <w:r>
              <w:rPr>
                <w:rFonts w:cs="Times New Roman"/>
                <w:sz w:val="24"/>
                <w:szCs w:val="24"/>
              </w:rPr>
              <w:t>chi nhánh ngân hàng nước ngoài</w:t>
            </w:r>
            <w:r w:rsidRPr="00EF5441">
              <w:rPr>
                <w:rFonts w:cs="Times New Roman"/>
                <w:sz w:val="24"/>
                <w:szCs w:val="24"/>
              </w:rPr>
              <w:t xml:space="preserve">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tc>
      </w:tr>
      <w:tr w:rsidR="003171AF" w:rsidRPr="009948F3" w14:paraId="332B0180" w14:textId="77777777" w:rsidTr="00FF2701">
        <w:trPr>
          <w:jc w:val="center"/>
        </w:trPr>
        <w:tc>
          <w:tcPr>
            <w:tcW w:w="911" w:type="dxa"/>
            <w:shd w:val="clear" w:color="auto" w:fill="auto"/>
            <w:vAlign w:val="center"/>
          </w:tcPr>
          <w:p w14:paraId="3118E8F8"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lastRenderedPageBreak/>
              <w:t>(2)</w:t>
            </w:r>
          </w:p>
        </w:tc>
        <w:tc>
          <w:tcPr>
            <w:tcW w:w="5040" w:type="dxa"/>
            <w:shd w:val="clear" w:color="auto" w:fill="auto"/>
            <w:vAlign w:val="center"/>
          </w:tcPr>
          <w:p w14:paraId="23AE3814"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Quỹ dự trữ bổ sung vốn điều lệ</w:t>
            </w:r>
          </w:p>
        </w:tc>
        <w:tc>
          <w:tcPr>
            <w:tcW w:w="6945" w:type="dxa"/>
          </w:tcPr>
          <w:p w14:paraId="6DAA23C4"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Lấy số liệu Quỹ dự trữ bổ sung vốn điều lệ trong khoản mục </w:t>
            </w:r>
            <w:r w:rsidRPr="00EF5441">
              <w:rPr>
                <w:rFonts w:cs="Times New Roman"/>
                <w:b/>
                <w:bCs/>
                <w:sz w:val="24"/>
                <w:szCs w:val="24"/>
              </w:rPr>
              <w:t>Quỹ của tổ chức tín dụng</w:t>
            </w:r>
            <w:r w:rsidRPr="00EF5441">
              <w:rPr>
                <w:rFonts w:cs="Times New Roman"/>
                <w:sz w:val="24"/>
                <w:szCs w:val="24"/>
              </w:rPr>
              <w:t> trên Báo cáo tình hình tài chính được lập theo số liệu Bảng cân đối tài khoản kế toán.</w:t>
            </w:r>
          </w:p>
        </w:tc>
      </w:tr>
      <w:tr w:rsidR="003171AF" w:rsidRPr="009948F3" w14:paraId="443AB9A8" w14:textId="77777777" w:rsidTr="00FF2701">
        <w:trPr>
          <w:jc w:val="center"/>
        </w:trPr>
        <w:tc>
          <w:tcPr>
            <w:tcW w:w="911" w:type="dxa"/>
            <w:shd w:val="clear" w:color="auto" w:fill="auto"/>
            <w:vAlign w:val="center"/>
          </w:tcPr>
          <w:p w14:paraId="13E5698A"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(3)</w:t>
            </w:r>
          </w:p>
        </w:tc>
        <w:tc>
          <w:tcPr>
            <w:tcW w:w="5040" w:type="dxa"/>
            <w:shd w:val="clear" w:color="auto" w:fill="auto"/>
            <w:vAlign w:val="center"/>
          </w:tcPr>
          <w:p w14:paraId="630E8509"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Quỹ đầu tư phát triển </w:t>
            </w:r>
          </w:p>
        </w:tc>
        <w:tc>
          <w:tcPr>
            <w:tcW w:w="6945" w:type="dxa"/>
          </w:tcPr>
          <w:p w14:paraId="3F12830F"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Lấy số liệu Quỹ đầu tư phát triển trong khoản mục</w:t>
            </w:r>
            <w:r w:rsidRPr="00EF5441">
              <w:rPr>
                <w:rFonts w:cs="Times New Roman"/>
                <w:b/>
                <w:bCs/>
                <w:sz w:val="24"/>
                <w:szCs w:val="24"/>
              </w:rPr>
              <w:t> Quỹ của tổ chức tín dụng</w:t>
            </w:r>
            <w:r w:rsidRPr="00EF5441">
              <w:rPr>
                <w:rFonts w:cs="Times New Roman"/>
                <w:sz w:val="24"/>
                <w:szCs w:val="24"/>
              </w:rPr>
              <w:t> trên Báo cáo tình hình tài chính được lập theo số liệu Bảng cân đối tài khoản kế toán.</w:t>
            </w:r>
          </w:p>
        </w:tc>
      </w:tr>
      <w:tr w:rsidR="003171AF" w:rsidRPr="009948F3" w14:paraId="4BF52A3C" w14:textId="77777777" w:rsidTr="00FF2701">
        <w:trPr>
          <w:jc w:val="center"/>
        </w:trPr>
        <w:tc>
          <w:tcPr>
            <w:tcW w:w="911" w:type="dxa"/>
            <w:shd w:val="clear" w:color="auto" w:fill="auto"/>
            <w:vAlign w:val="center"/>
          </w:tcPr>
          <w:p w14:paraId="1BF12864"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(4)</w:t>
            </w:r>
          </w:p>
        </w:tc>
        <w:tc>
          <w:tcPr>
            <w:tcW w:w="5040" w:type="dxa"/>
            <w:shd w:val="clear" w:color="auto" w:fill="auto"/>
            <w:vAlign w:val="center"/>
          </w:tcPr>
          <w:p w14:paraId="0DA74D50"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Quỹ dự phòng tài chính</w:t>
            </w:r>
          </w:p>
        </w:tc>
        <w:tc>
          <w:tcPr>
            <w:tcW w:w="6945" w:type="dxa"/>
          </w:tcPr>
          <w:p w14:paraId="664DA664"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Lấy số liệu Quỹ dự phòng tài chính trong khoản mục</w:t>
            </w:r>
            <w:r w:rsidRPr="00EF5441">
              <w:rPr>
                <w:rFonts w:cs="Times New Roman"/>
                <w:b/>
                <w:bCs/>
                <w:sz w:val="24"/>
                <w:szCs w:val="24"/>
              </w:rPr>
              <w:t> Quỹ của tổ chức tín dụng</w:t>
            </w:r>
            <w:r w:rsidRPr="00EF5441">
              <w:rPr>
                <w:rFonts w:cs="Times New Roman"/>
                <w:sz w:val="24"/>
                <w:szCs w:val="24"/>
              </w:rPr>
              <w:t> trên Báo cáo tình hình tài chính được lập theo số liệu Bảng cân đối tài khoản kế toán.</w:t>
            </w:r>
          </w:p>
        </w:tc>
      </w:tr>
      <w:tr w:rsidR="003171AF" w:rsidRPr="009948F3" w14:paraId="00C847B2" w14:textId="77777777" w:rsidTr="00FF2701">
        <w:trPr>
          <w:jc w:val="center"/>
        </w:trPr>
        <w:tc>
          <w:tcPr>
            <w:tcW w:w="911" w:type="dxa"/>
            <w:shd w:val="clear" w:color="auto" w:fill="auto"/>
            <w:vAlign w:val="center"/>
          </w:tcPr>
          <w:p w14:paraId="17622CD2"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(5)</w:t>
            </w:r>
          </w:p>
        </w:tc>
        <w:tc>
          <w:tcPr>
            <w:tcW w:w="5040" w:type="dxa"/>
            <w:shd w:val="clear" w:color="auto" w:fill="auto"/>
            <w:vAlign w:val="center"/>
          </w:tcPr>
          <w:p w14:paraId="2C5E32C8"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Các quỹ khác được trích từ lợi nhuận sau thuế thu nhập doanh nghiệp theo quy định của pháp luật (không bao gồm quỹ khen thưởng, phúc lợi, quỹ thưởng ban điều hành)</w:t>
            </w:r>
          </w:p>
        </w:tc>
        <w:tc>
          <w:tcPr>
            <w:tcW w:w="6945" w:type="dxa"/>
          </w:tcPr>
          <w:p w14:paraId="34CEE8DD"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Lấy số liệu Quỹ khác trong khoản mục</w:t>
            </w:r>
            <w:r w:rsidRPr="00EF5441">
              <w:rPr>
                <w:rFonts w:cs="Times New Roman"/>
                <w:b/>
                <w:bCs/>
                <w:sz w:val="24"/>
                <w:szCs w:val="24"/>
              </w:rPr>
              <w:t> Quỹ của tổ chức tín dụng</w:t>
            </w:r>
            <w:r w:rsidRPr="00EF5441">
              <w:rPr>
                <w:rFonts w:cs="Times New Roman"/>
                <w:sz w:val="24"/>
                <w:szCs w:val="24"/>
              </w:rPr>
              <w:t> trên Báo cáo tình hình tài chính được lập theo số liệu Bảng cân đối tài khoản kế toán.</w:t>
            </w:r>
          </w:p>
        </w:tc>
      </w:tr>
      <w:tr w:rsidR="003171AF" w:rsidRPr="009948F3" w14:paraId="08CBBD48" w14:textId="77777777" w:rsidTr="00FF2701">
        <w:trPr>
          <w:jc w:val="center"/>
        </w:trPr>
        <w:tc>
          <w:tcPr>
            <w:tcW w:w="911" w:type="dxa"/>
            <w:shd w:val="clear" w:color="auto" w:fill="auto"/>
            <w:vAlign w:val="center"/>
          </w:tcPr>
          <w:p w14:paraId="1E73303D"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(6)</w:t>
            </w:r>
          </w:p>
        </w:tc>
        <w:tc>
          <w:tcPr>
            <w:tcW w:w="5040" w:type="dxa"/>
            <w:shd w:val="clear" w:color="auto" w:fill="auto"/>
            <w:vAlign w:val="center"/>
          </w:tcPr>
          <w:p w14:paraId="440E4CF5" w14:textId="77777777" w:rsidR="003171AF" w:rsidRPr="00EF5441" w:rsidRDefault="003171AF" w:rsidP="00CC7D8C">
            <w:pPr>
              <w:spacing w:before="120" w:after="120"/>
              <w:jc w:val="both"/>
              <w:rPr>
                <w:rFonts w:cs="Times New Roman"/>
                <w:i/>
                <w:iCs/>
                <w:sz w:val="24"/>
                <w:szCs w:val="24"/>
              </w:rPr>
            </w:pPr>
            <w:r w:rsidRPr="00EF5441">
              <w:rPr>
                <w:rFonts w:cs="Times New Roman"/>
                <w:sz w:val="24"/>
                <w:szCs w:val="24"/>
              </w:rPr>
              <w:t>Vốn đầu tư xây dựng cơ bản, mua sắm tài sản cố định</w:t>
            </w:r>
          </w:p>
        </w:tc>
        <w:tc>
          <w:tcPr>
            <w:tcW w:w="6945" w:type="dxa"/>
          </w:tcPr>
          <w:p w14:paraId="73AB2C34"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Lấy số liệu </w:t>
            </w:r>
            <w:r w:rsidRPr="00EF5441">
              <w:rPr>
                <w:rFonts w:cs="Times New Roman"/>
                <w:b/>
                <w:bCs/>
                <w:sz w:val="24"/>
                <w:szCs w:val="24"/>
              </w:rPr>
              <w:t>Vốn đầu tư xây dựng cơ bản, mua sắm tài sản cố định</w:t>
            </w:r>
            <w:r w:rsidRPr="00EF5441">
              <w:rPr>
                <w:rFonts w:cs="Times New Roman"/>
                <w:sz w:val="24"/>
                <w:szCs w:val="24"/>
              </w:rPr>
              <w:t xml:space="preserve"> trên Báo cáo tình hình tài chính được lập theo số liệu Bảng cân đối tài khoản kế toán.</w:t>
            </w:r>
          </w:p>
        </w:tc>
      </w:tr>
      <w:tr w:rsidR="003171AF" w:rsidRPr="009948F3" w14:paraId="167E4BF5" w14:textId="77777777" w:rsidTr="00FF2701">
        <w:trPr>
          <w:jc w:val="center"/>
        </w:trPr>
        <w:tc>
          <w:tcPr>
            <w:tcW w:w="911" w:type="dxa"/>
            <w:shd w:val="clear" w:color="auto" w:fill="auto"/>
            <w:vAlign w:val="center"/>
          </w:tcPr>
          <w:p w14:paraId="0B292656"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(7)</w:t>
            </w:r>
          </w:p>
        </w:tc>
        <w:tc>
          <w:tcPr>
            <w:tcW w:w="5040" w:type="dxa"/>
            <w:shd w:val="clear" w:color="auto" w:fill="auto"/>
            <w:vAlign w:val="center"/>
          </w:tcPr>
          <w:p w14:paraId="44B0670A"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Vốn khác</w:t>
            </w:r>
          </w:p>
        </w:tc>
        <w:tc>
          <w:tcPr>
            <w:tcW w:w="6945" w:type="dxa"/>
          </w:tcPr>
          <w:p w14:paraId="3E6DD482"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Lấy số liệu </w:t>
            </w:r>
            <w:r w:rsidRPr="00EF5441">
              <w:rPr>
                <w:rFonts w:cs="Times New Roman"/>
                <w:b/>
                <w:bCs/>
                <w:sz w:val="24"/>
                <w:szCs w:val="24"/>
              </w:rPr>
              <w:t>Vốn khác</w:t>
            </w:r>
            <w:r w:rsidRPr="00EF5441">
              <w:rPr>
                <w:rFonts w:cs="Times New Roman"/>
                <w:sz w:val="24"/>
                <w:szCs w:val="24"/>
              </w:rPr>
              <w:t xml:space="preserve"> trên Báo cáo tình hình tài chính được lập theo số liệu Bảng cân đối tài khoản kế toán.</w:t>
            </w:r>
          </w:p>
        </w:tc>
      </w:tr>
      <w:tr w:rsidR="003171AF" w:rsidRPr="009948F3" w14:paraId="5663291D" w14:textId="77777777" w:rsidTr="00FF2701">
        <w:trPr>
          <w:jc w:val="center"/>
        </w:trPr>
        <w:tc>
          <w:tcPr>
            <w:tcW w:w="911" w:type="dxa"/>
            <w:shd w:val="clear" w:color="auto" w:fill="auto"/>
            <w:vAlign w:val="center"/>
          </w:tcPr>
          <w:p w14:paraId="0634A97C"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lastRenderedPageBreak/>
              <w:t>(8)</w:t>
            </w:r>
          </w:p>
        </w:tc>
        <w:tc>
          <w:tcPr>
            <w:tcW w:w="5040" w:type="dxa"/>
            <w:shd w:val="clear" w:color="auto" w:fill="auto"/>
            <w:vAlign w:val="center"/>
          </w:tcPr>
          <w:p w14:paraId="2D56A55B"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Lợi nhuận chưa phân phối</w:t>
            </w:r>
          </w:p>
        </w:tc>
        <w:tc>
          <w:tcPr>
            <w:tcW w:w="6945" w:type="dxa"/>
          </w:tcPr>
          <w:p w14:paraId="70126D72"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Lấy số liệu </w:t>
            </w:r>
            <w:r w:rsidRPr="00EF5441">
              <w:rPr>
                <w:rFonts w:cs="Times New Roman"/>
                <w:b/>
                <w:bCs/>
                <w:sz w:val="24"/>
                <w:szCs w:val="24"/>
              </w:rPr>
              <w:t>Lợi nhuận chưa phân phối</w:t>
            </w:r>
            <w:r w:rsidRPr="00EF5441">
              <w:rPr>
                <w:rFonts w:cs="Times New Roman"/>
                <w:sz w:val="24"/>
                <w:szCs w:val="24"/>
              </w:rPr>
              <w:t xml:space="preserve"> trên Báo cáo tình hình tài chính được lập theo số liệu Bảng cân đối tài khoản kế toán tại thời điểm tính tỷ lệ </w:t>
            </w:r>
            <w:proofErr w:type="gramStart"/>
            <w:r w:rsidRPr="00EF5441">
              <w:rPr>
                <w:rFonts w:cs="Times New Roman"/>
                <w:sz w:val="24"/>
                <w:szCs w:val="24"/>
              </w:rPr>
              <w:t>an</w:t>
            </w:r>
            <w:proofErr w:type="gramEnd"/>
            <w:r w:rsidRPr="00EF5441">
              <w:rPr>
                <w:rFonts w:cs="Times New Roman"/>
                <w:sz w:val="24"/>
                <w:szCs w:val="24"/>
              </w:rPr>
              <w:t xml:space="preserve"> toàn vốn tối thiểu riêng lẻ.</w:t>
            </w:r>
          </w:p>
          <w:p w14:paraId="0DFDA302"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Đối với </w:t>
            </w:r>
            <w:r>
              <w:rPr>
                <w:rFonts w:cs="Times New Roman"/>
                <w:sz w:val="24"/>
                <w:szCs w:val="24"/>
              </w:rPr>
              <w:t>chi nhánh ngân hàng nước ngoài</w:t>
            </w:r>
            <w:r w:rsidRPr="00EF5441">
              <w:rPr>
                <w:rFonts w:cs="Times New Roman"/>
                <w:sz w:val="24"/>
                <w:szCs w:val="24"/>
              </w:rPr>
              <w:t xml:space="preserve"> được chấp thuận hoãn, giãn trích lập dự phòng rủi ro, lợi nhuận chưa phân phối phải trừ đi chênh lệch dương giữa số dự phòng rủi ro phải trích theo quy định của pháp luật về </w:t>
            </w:r>
            <w:r w:rsidRPr="00EF5441">
              <w:rPr>
                <w:rFonts w:cs="Times New Roman"/>
                <w:sz w:val="24"/>
                <w:szCs w:val="24"/>
                <w:lang w:val="vi-VN"/>
              </w:rPr>
              <w:t>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w:t>
            </w:r>
            <w:r w:rsidRPr="00EF5441">
              <w:rPr>
                <w:rFonts w:cs="Times New Roman"/>
                <w:sz w:val="24"/>
                <w:szCs w:val="24"/>
              </w:rPr>
              <w:t xml:space="preserve"> so với số dự phòng rủi ro đã trích.</w:t>
            </w:r>
          </w:p>
        </w:tc>
      </w:tr>
      <w:tr w:rsidR="003171AF" w:rsidRPr="009948F3" w14:paraId="14EC22C8" w14:textId="77777777" w:rsidTr="00FF2701">
        <w:trPr>
          <w:jc w:val="center"/>
        </w:trPr>
        <w:tc>
          <w:tcPr>
            <w:tcW w:w="911" w:type="dxa"/>
            <w:shd w:val="clear" w:color="auto" w:fill="auto"/>
            <w:vAlign w:val="center"/>
          </w:tcPr>
          <w:p w14:paraId="352D2FE0"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w:t>
            </w:r>
            <w:r>
              <w:rPr>
                <w:rFonts w:cs="Times New Roman"/>
                <w:sz w:val="24"/>
                <w:szCs w:val="24"/>
              </w:rPr>
              <w:t>9</w:t>
            </w:r>
            <w:r w:rsidRPr="00EF5441">
              <w:rPr>
                <w:rFonts w:cs="Times New Roman"/>
                <w:sz w:val="24"/>
                <w:szCs w:val="24"/>
              </w:rPr>
              <w:t>)</w:t>
            </w:r>
          </w:p>
        </w:tc>
        <w:tc>
          <w:tcPr>
            <w:tcW w:w="5040" w:type="dxa"/>
            <w:shd w:val="clear" w:color="auto" w:fill="auto"/>
            <w:vAlign w:val="center"/>
          </w:tcPr>
          <w:p w14:paraId="21928542" w14:textId="2F9E94E0"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Chênh lệch tỷ giá hối đoái </w:t>
            </w:r>
          </w:p>
        </w:tc>
        <w:tc>
          <w:tcPr>
            <w:tcW w:w="6945" w:type="dxa"/>
          </w:tcPr>
          <w:p w14:paraId="0D0F0980" w14:textId="77777777" w:rsidR="003171AF" w:rsidRPr="00EF5441" w:rsidRDefault="003171AF" w:rsidP="00CC7D8C">
            <w:pPr>
              <w:spacing w:before="120" w:after="120"/>
              <w:jc w:val="both"/>
              <w:rPr>
                <w:rFonts w:cs="Times New Roman"/>
                <w:sz w:val="24"/>
                <w:szCs w:val="24"/>
              </w:rPr>
            </w:pPr>
            <w:r w:rsidRPr="00EF5441">
              <w:rPr>
                <w:rFonts w:cs="Times New Roman"/>
                <w:sz w:val="24"/>
                <w:szCs w:val="24"/>
                <w:lang w:val="vi-VN"/>
              </w:rPr>
              <w:t>Lấy số dư khoản </w:t>
            </w:r>
            <w:r w:rsidRPr="00EF5441">
              <w:rPr>
                <w:rFonts w:cs="Times New Roman"/>
                <w:b/>
                <w:bCs/>
                <w:sz w:val="24"/>
                <w:szCs w:val="24"/>
                <w:lang w:val="vi-VN"/>
              </w:rPr>
              <w:t>Chênh lệch tỷ giá hối đoái</w:t>
            </w:r>
            <w:r w:rsidRPr="00EF5441">
              <w:rPr>
                <w:rFonts w:cs="Times New Roman"/>
                <w:sz w:val="24"/>
                <w:szCs w:val="24"/>
                <w:lang w:val="vi-VN"/>
              </w:rPr>
              <w:t xml:space="preserve"> do đánh giá lại vốn chủ sở hữu có gốc ngoại tệ thuộc khoản mục Vốn Chủ sở hữu được ghi nhận trên </w:t>
            </w:r>
            <w:r w:rsidRPr="00EF5441">
              <w:rPr>
                <w:rFonts w:cs="Times New Roman"/>
                <w:sz w:val="24"/>
                <w:szCs w:val="24"/>
              </w:rPr>
              <w:t xml:space="preserve">Báo cáo tình hình tài chính (được lập theo số liệu Bảng cân đối tài khoản kế toán) </w:t>
            </w:r>
            <w:r w:rsidRPr="00EF5441">
              <w:rPr>
                <w:rFonts w:cs="Times New Roman"/>
                <w:sz w:val="24"/>
                <w:szCs w:val="24"/>
                <w:lang w:val="vi-VN"/>
              </w:rPr>
              <w:t>khi chuyển đổi Báo cáo tài chính được lập bằng ngoại tệ ra đồng Việt Nam.</w:t>
            </w:r>
          </w:p>
        </w:tc>
      </w:tr>
      <w:tr w:rsidR="003171AF" w:rsidRPr="009948F3" w14:paraId="4A28FFB0" w14:textId="77777777" w:rsidTr="00FF2701">
        <w:trPr>
          <w:jc w:val="center"/>
        </w:trPr>
        <w:tc>
          <w:tcPr>
            <w:tcW w:w="911" w:type="dxa"/>
            <w:shd w:val="clear" w:color="auto" w:fill="auto"/>
            <w:vAlign w:val="center"/>
          </w:tcPr>
          <w:p w14:paraId="41FF1DBC" w14:textId="77777777" w:rsidR="003171AF" w:rsidRPr="00EF5441" w:rsidRDefault="003171AF" w:rsidP="00CC7D8C">
            <w:pPr>
              <w:spacing w:before="120" w:after="120"/>
              <w:jc w:val="center"/>
              <w:rPr>
                <w:rFonts w:cs="Times New Roman"/>
                <w:sz w:val="24"/>
                <w:szCs w:val="24"/>
              </w:rPr>
            </w:pPr>
          </w:p>
        </w:tc>
        <w:tc>
          <w:tcPr>
            <w:tcW w:w="5040" w:type="dxa"/>
            <w:shd w:val="clear" w:color="auto" w:fill="auto"/>
            <w:vAlign w:val="center"/>
          </w:tcPr>
          <w:p w14:paraId="73248F48" w14:textId="1F2E0F11" w:rsidR="003171AF" w:rsidRPr="00EF5441" w:rsidRDefault="003171AF" w:rsidP="00CC7D8C">
            <w:pPr>
              <w:spacing w:before="120" w:after="120"/>
              <w:jc w:val="both"/>
              <w:rPr>
                <w:rFonts w:cs="Times New Roman"/>
                <w:b/>
                <w:sz w:val="24"/>
                <w:szCs w:val="24"/>
              </w:rPr>
            </w:pPr>
            <w:r w:rsidRPr="00EF5441">
              <w:rPr>
                <w:rFonts w:cs="Times New Roman"/>
                <w:b/>
                <w:sz w:val="24"/>
                <w:szCs w:val="24"/>
              </w:rPr>
              <w:t xml:space="preserve">Các khoản </w:t>
            </w:r>
            <w:r w:rsidR="00C32A2C">
              <w:rPr>
                <w:rFonts w:cs="Times New Roman"/>
                <w:b/>
                <w:sz w:val="24"/>
                <w:szCs w:val="24"/>
              </w:rPr>
              <w:t>giảm</w:t>
            </w:r>
            <w:r w:rsidR="00C32A2C" w:rsidRPr="00EF5441">
              <w:rPr>
                <w:rFonts w:cs="Times New Roman"/>
                <w:b/>
                <w:sz w:val="24"/>
                <w:szCs w:val="24"/>
              </w:rPr>
              <w:t xml:space="preserve"> </w:t>
            </w:r>
            <w:r w:rsidRPr="00EF5441">
              <w:rPr>
                <w:rFonts w:cs="Times New Roman"/>
                <w:b/>
                <w:sz w:val="24"/>
                <w:szCs w:val="24"/>
              </w:rPr>
              <w:t xml:space="preserve">trừ khỏi Vốn </w:t>
            </w:r>
            <w:r>
              <w:rPr>
                <w:rFonts w:cs="Times New Roman"/>
                <w:b/>
                <w:sz w:val="24"/>
                <w:szCs w:val="24"/>
              </w:rPr>
              <w:t xml:space="preserve">lõi </w:t>
            </w:r>
            <w:r w:rsidRPr="00EF5441">
              <w:rPr>
                <w:rFonts w:cs="Times New Roman"/>
                <w:b/>
                <w:sz w:val="24"/>
                <w:szCs w:val="24"/>
              </w:rPr>
              <w:t>cấp 1</w:t>
            </w:r>
          </w:p>
          <w:p w14:paraId="5C99C320" w14:textId="4504D126" w:rsidR="003171AF" w:rsidRPr="00EF5441" w:rsidRDefault="003171AF" w:rsidP="00F34BEE">
            <w:pPr>
              <w:spacing w:before="120" w:after="120"/>
              <w:jc w:val="both"/>
              <w:rPr>
                <w:rFonts w:cs="Times New Roman"/>
                <w:sz w:val="24"/>
                <w:szCs w:val="24"/>
              </w:rPr>
            </w:pPr>
            <w:r w:rsidRPr="00EF5441">
              <w:rPr>
                <w:rFonts w:cs="Times New Roman"/>
                <w:b/>
                <w:sz w:val="24"/>
                <w:szCs w:val="24"/>
              </w:rPr>
              <w:t xml:space="preserve">(A12) = </w:t>
            </w:r>
            <w:r w:rsidRPr="00EF5441">
              <w:rPr>
                <w:rFonts w:cs="Times New Roman"/>
                <w:b/>
                <w:bCs/>
                <w:sz w:val="24"/>
                <w:szCs w:val="24"/>
                <w:lang w:val="pt-BR"/>
              </w:rPr>
              <w:t>∑</w:t>
            </w:r>
            <w:r w:rsidR="00FA16BC">
              <w:rPr>
                <w:rFonts w:cs="Times New Roman"/>
                <w:b/>
                <w:bCs/>
                <w:sz w:val="24"/>
                <w:szCs w:val="24"/>
                <w:lang w:val="pt-BR"/>
              </w:rPr>
              <w:t>(</w:t>
            </w:r>
            <w:r w:rsidRPr="00EF5441">
              <w:rPr>
                <w:rFonts w:cs="Times New Roman"/>
                <w:b/>
                <w:bCs/>
                <w:sz w:val="24"/>
                <w:szCs w:val="24"/>
                <w:lang w:val="pt-BR"/>
              </w:rPr>
              <w:t>1</w:t>
            </w:r>
            <w:r>
              <w:rPr>
                <w:rFonts w:cs="Times New Roman"/>
                <w:b/>
                <w:bCs/>
                <w:sz w:val="24"/>
                <w:szCs w:val="24"/>
                <w:lang w:val="pt-BR"/>
              </w:rPr>
              <w:t>0</w:t>
            </w:r>
            <w:r w:rsidR="00FA16BC">
              <w:rPr>
                <w:rFonts w:cs="Times New Roman"/>
                <w:b/>
                <w:bCs/>
                <w:sz w:val="24"/>
                <w:szCs w:val="24"/>
                <w:lang w:val="pt-BR"/>
              </w:rPr>
              <w:t xml:space="preserve">) </w:t>
            </w:r>
            <w:r w:rsidRPr="00EF5441">
              <w:rPr>
                <w:rFonts w:cs="Times New Roman"/>
                <w:b/>
                <w:bCs/>
                <w:sz w:val="24"/>
                <w:szCs w:val="24"/>
                <w:lang w:val="pt-BR"/>
              </w:rPr>
              <w:t xml:space="preserve">÷ </w:t>
            </w:r>
            <w:r w:rsidR="00FA16BC">
              <w:rPr>
                <w:rFonts w:cs="Times New Roman"/>
                <w:b/>
                <w:bCs/>
                <w:sz w:val="24"/>
                <w:szCs w:val="24"/>
                <w:lang w:val="pt-BR"/>
              </w:rPr>
              <w:t>(</w:t>
            </w:r>
            <w:r w:rsidR="000F0C84" w:rsidRPr="00EF5441">
              <w:rPr>
                <w:rFonts w:cs="Times New Roman"/>
                <w:b/>
                <w:bCs/>
                <w:sz w:val="24"/>
                <w:szCs w:val="24"/>
                <w:lang w:val="pt-BR"/>
              </w:rPr>
              <w:t>1</w:t>
            </w:r>
            <w:r w:rsidR="000F0C84">
              <w:rPr>
                <w:rFonts w:cs="Times New Roman"/>
                <w:b/>
                <w:bCs/>
                <w:sz w:val="24"/>
                <w:szCs w:val="24"/>
                <w:lang w:val="pt-BR"/>
              </w:rPr>
              <w:t>5</w:t>
            </w:r>
            <w:r w:rsidR="00FA16BC">
              <w:rPr>
                <w:rFonts w:cs="Times New Roman"/>
                <w:b/>
                <w:bCs/>
                <w:sz w:val="24"/>
                <w:szCs w:val="24"/>
                <w:lang w:val="pt-BR"/>
              </w:rPr>
              <w:t>)</w:t>
            </w:r>
          </w:p>
        </w:tc>
        <w:tc>
          <w:tcPr>
            <w:tcW w:w="6945" w:type="dxa"/>
          </w:tcPr>
          <w:p w14:paraId="11DF9A24" w14:textId="77777777" w:rsidR="003171AF" w:rsidRPr="00EF5441" w:rsidRDefault="003171AF" w:rsidP="00CC7D8C">
            <w:pPr>
              <w:spacing w:before="120" w:after="120"/>
              <w:jc w:val="both"/>
              <w:rPr>
                <w:rFonts w:cs="Times New Roman"/>
                <w:sz w:val="24"/>
                <w:szCs w:val="24"/>
                <w:lang w:val="vi-VN"/>
              </w:rPr>
            </w:pPr>
          </w:p>
        </w:tc>
      </w:tr>
      <w:tr w:rsidR="003171AF" w:rsidRPr="009948F3" w14:paraId="56BB121F" w14:textId="77777777" w:rsidTr="00FF2701">
        <w:trPr>
          <w:jc w:val="center"/>
        </w:trPr>
        <w:tc>
          <w:tcPr>
            <w:tcW w:w="911" w:type="dxa"/>
            <w:shd w:val="clear" w:color="auto" w:fill="auto"/>
            <w:vAlign w:val="center"/>
          </w:tcPr>
          <w:p w14:paraId="21E5EE03"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(1</w:t>
            </w:r>
            <w:r>
              <w:rPr>
                <w:rFonts w:cs="Times New Roman"/>
                <w:sz w:val="24"/>
                <w:szCs w:val="24"/>
              </w:rPr>
              <w:t>0</w:t>
            </w:r>
            <w:r w:rsidRPr="00EF5441">
              <w:rPr>
                <w:rFonts w:cs="Times New Roman"/>
                <w:sz w:val="24"/>
                <w:szCs w:val="24"/>
              </w:rPr>
              <w:t>)</w:t>
            </w:r>
          </w:p>
        </w:tc>
        <w:tc>
          <w:tcPr>
            <w:tcW w:w="5040" w:type="dxa"/>
            <w:shd w:val="clear" w:color="auto" w:fill="auto"/>
            <w:vAlign w:val="center"/>
          </w:tcPr>
          <w:p w14:paraId="0CE8B239" w14:textId="77777777" w:rsidR="003171AF" w:rsidRPr="00EF5441" w:rsidRDefault="003171AF" w:rsidP="00CC7D8C">
            <w:pPr>
              <w:spacing w:before="120" w:after="120"/>
              <w:jc w:val="both"/>
              <w:rPr>
                <w:rFonts w:cs="Times New Roman"/>
                <w:b/>
                <w:sz w:val="24"/>
                <w:szCs w:val="24"/>
              </w:rPr>
            </w:pPr>
            <w:r w:rsidRPr="00EF5441">
              <w:rPr>
                <w:rFonts w:cs="Times New Roman"/>
                <w:sz w:val="24"/>
                <w:szCs w:val="24"/>
              </w:rPr>
              <w:t xml:space="preserve">Các tài sản cố định vô hình (không bao gồm quyền sử dụng đất) </w:t>
            </w:r>
          </w:p>
        </w:tc>
        <w:tc>
          <w:tcPr>
            <w:tcW w:w="6945" w:type="dxa"/>
          </w:tcPr>
          <w:p w14:paraId="5609F2F9"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Lấy giá trị còn lại của </w:t>
            </w:r>
            <w:r w:rsidRPr="00EF5441">
              <w:rPr>
                <w:rFonts w:cs="Times New Roman"/>
                <w:b/>
                <w:bCs/>
                <w:sz w:val="24"/>
                <w:szCs w:val="24"/>
              </w:rPr>
              <w:t xml:space="preserve">Tài sản cố định vô hình </w:t>
            </w:r>
            <w:r w:rsidRPr="00EF5441">
              <w:rPr>
                <w:rFonts w:cs="Times New Roman"/>
                <w:sz w:val="24"/>
                <w:szCs w:val="24"/>
              </w:rPr>
              <w:t>(không bao gồm quyền sử dụng đất) trên Thuyết minh báo cáo tài chính được lập theo số liệu Bảng cân đối tài khoản kế toán.</w:t>
            </w:r>
          </w:p>
        </w:tc>
      </w:tr>
      <w:tr w:rsidR="003171AF" w:rsidRPr="009948F3" w14:paraId="43820F0B" w14:textId="77777777" w:rsidTr="00FF2701">
        <w:trPr>
          <w:jc w:val="center"/>
        </w:trPr>
        <w:tc>
          <w:tcPr>
            <w:tcW w:w="911" w:type="dxa"/>
            <w:shd w:val="clear" w:color="auto" w:fill="auto"/>
            <w:vAlign w:val="center"/>
          </w:tcPr>
          <w:p w14:paraId="61B31D08"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w:t>
            </w:r>
            <w:r>
              <w:rPr>
                <w:rFonts w:cs="Times New Roman"/>
                <w:sz w:val="24"/>
                <w:szCs w:val="24"/>
              </w:rPr>
              <w:t>11</w:t>
            </w:r>
            <w:r w:rsidRPr="00EF5441">
              <w:rPr>
                <w:rFonts w:cs="Times New Roman"/>
                <w:sz w:val="24"/>
                <w:szCs w:val="24"/>
              </w:rPr>
              <w:t>)</w:t>
            </w:r>
          </w:p>
        </w:tc>
        <w:tc>
          <w:tcPr>
            <w:tcW w:w="5040" w:type="dxa"/>
            <w:shd w:val="clear" w:color="auto" w:fill="auto"/>
            <w:vAlign w:val="center"/>
          </w:tcPr>
          <w:p w14:paraId="2F6D99B8" w14:textId="77777777" w:rsidR="003171AF" w:rsidRPr="00EF5441" w:rsidRDefault="003171AF" w:rsidP="00CC7D8C">
            <w:pPr>
              <w:spacing w:before="120" w:after="120"/>
              <w:jc w:val="both"/>
              <w:rPr>
                <w:rFonts w:cs="Times New Roman"/>
                <w:b/>
                <w:sz w:val="24"/>
                <w:szCs w:val="24"/>
              </w:rPr>
            </w:pPr>
            <w:r w:rsidRPr="00EF5441">
              <w:rPr>
                <w:rFonts w:cs="Times New Roman"/>
                <w:sz w:val="24"/>
                <w:szCs w:val="24"/>
              </w:rPr>
              <w:t xml:space="preserve">Tài sản thuế thu nhập hoãn lại </w:t>
            </w:r>
          </w:p>
        </w:tc>
        <w:tc>
          <w:tcPr>
            <w:tcW w:w="6945" w:type="dxa"/>
          </w:tcPr>
          <w:p w14:paraId="1AAEEB35" w14:textId="77777777" w:rsidR="003171AF" w:rsidRPr="00EF5441" w:rsidRDefault="003171AF" w:rsidP="00CC7D8C">
            <w:pPr>
              <w:spacing w:before="120" w:after="120"/>
              <w:jc w:val="both"/>
              <w:rPr>
                <w:rFonts w:cs="Times New Roman"/>
                <w:sz w:val="24"/>
                <w:szCs w:val="24"/>
                <w:lang w:val="vi-VN"/>
              </w:rPr>
            </w:pPr>
            <w:r w:rsidRPr="00EF5441">
              <w:rPr>
                <w:rFonts w:cs="Times New Roman"/>
                <w:sz w:val="24"/>
                <w:szCs w:val="24"/>
              </w:rPr>
              <w:t xml:space="preserve">Lấy số liệu từ </w:t>
            </w:r>
            <w:r w:rsidRPr="00EF5441">
              <w:rPr>
                <w:rFonts w:cs="Times New Roman"/>
                <w:b/>
                <w:bCs/>
                <w:sz w:val="24"/>
                <w:szCs w:val="24"/>
              </w:rPr>
              <w:t>Tài sản thuế thu nhập hoãn lại phát sinh từ các khoản chênh lệch tạm thời phải chịu thuế</w:t>
            </w:r>
            <w:r w:rsidRPr="00EF5441">
              <w:rPr>
                <w:rFonts w:cs="Times New Roman"/>
                <w:sz w:val="24"/>
                <w:szCs w:val="24"/>
              </w:rPr>
              <w:t xml:space="preserve"> tại Thuyết minh báo cáo tài chính được lập theo số liệu Bảng cân đối tài khoản kế toán.</w:t>
            </w:r>
          </w:p>
        </w:tc>
      </w:tr>
      <w:tr w:rsidR="003171AF" w:rsidRPr="009948F3" w14:paraId="52B8A015" w14:textId="77777777" w:rsidTr="00FF2701">
        <w:trPr>
          <w:jc w:val="center"/>
        </w:trPr>
        <w:tc>
          <w:tcPr>
            <w:tcW w:w="911" w:type="dxa"/>
            <w:shd w:val="clear" w:color="auto" w:fill="auto"/>
            <w:vAlign w:val="center"/>
          </w:tcPr>
          <w:p w14:paraId="6F87FB13" w14:textId="77777777" w:rsidR="003171AF" w:rsidRPr="00EF5441" w:rsidRDefault="003171AF" w:rsidP="00CC7D8C">
            <w:pPr>
              <w:spacing w:before="120" w:after="120"/>
              <w:jc w:val="center"/>
              <w:rPr>
                <w:rFonts w:cs="Times New Roman"/>
                <w:sz w:val="24"/>
                <w:szCs w:val="24"/>
              </w:rPr>
            </w:pPr>
            <w:r w:rsidRPr="00EF5441">
              <w:rPr>
                <w:rFonts w:cs="Times New Roman"/>
                <w:color w:val="000000"/>
                <w:sz w:val="24"/>
                <w:szCs w:val="24"/>
              </w:rPr>
              <w:t>(</w:t>
            </w:r>
            <w:r>
              <w:rPr>
                <w:rFonts w:cs="Times New Roman"/>
                <w:color w:val="000000"/>
                <w:sz w:val="24"/>
                <w:szCs w:val="24"/>
              </w:rPr>
              <w:t>12</w:t>
            </w:r>
            <w:r w:rsidRPr="00EF5441">
              <w:rPr>
                <w:rFonts w:cs="Times New Roman"/>
                <w:color w:val="000000"/>
                <w:sz w:val="24"/>
                <w:szCs w:val="24"/>
              </w:rPr>
              <w:t>)</w:t>
            </w:r>
          </w:p>
        </w:tc>
        <w:tc>
          <w:tcPr>
            <w:tcW w:w="5040" w:type="dxa"/>
            <w:shd w:val="clear" w:color="auto" w:fill="auto"/>
            <w:vAlign w:val="center"/>
          </w:tcPr>
          <w:p w14:paraId="4EB7FF30" w14:textId="77777777" w:rsidR="003171AF" w:rsidRPr="00EF5441" w:rsidRDefault="003171AF" w:rsidP="00CC7D8C">
            <w:pPr>
              <w:spacing w:before="120" w:after="120"/>
              <w:jc w:val="both"/>
              <w:rPr>
                <w:rFonts w:cs="Times New Roman"/>
                <w:i/>
                <w:iCs/>
                <w:sz w:val="24"/>
                <w:szCs w:val="24"/>
              </w:rPr>
            </w:pPr>
            <w:r w:rsidRPr="00EF5441">
              <w:rPr>
                <w:rFonts w:cs="Times New Roman"/>
                <w:color w:val="000000"/>
                <w:sz w:val="24"/>
                <w:szCs w:val="24"/>
              </w:rPr>
              <w:t>Lỗ lũy kế</w:t>
            </w:r>
          </w:p>
        </w:tc>
        <w:tc>
          <w:tcPr>
            <w:tcW w:w="6945" w:type="dxa"/>
            <w:vAlign w:val="center"/>
          </w:tcPr>
          <w:p w14:paraId="03C5B4E0" w14:textId="77777777" w:rsidR="003171AF" w:rsidRPr="00EF5441" w:rsidRDefault="003171AF" w:rsidP="00CC7D8C">
            <w:pPr>
              <w:spacing w:before="120" w:after="120"/>
              <w:jc w:val="both"/>
              <w:rPr>
                <w:rFonts w:cs="Times New Roman"/>
                <w:sz w:val="24"/>
                <w:szCs w:val="24"/>
              </w:rPr>
            </w:pPr>
            <w:r w:rsidRPr="00EF5441">
              <w:rPr>
                <w:rFonts w:cs="Times New Roman"/>
                <w:color w:val="000000"/>
                <w:sz w:val="24"/>
                <w:szCs w:val="24"/>
              </w:rPr>
              <w:t>Lấy số liệu </w:t>
            </w:r>
            <w:r w:rsidRPr="00EF5441">
              <w:rPr>
                <w:rFonts w:cs="Times New Roman"/>
                <w:b/>
                <w:bCs/>
                <w:color w:val="000000"/>
                <w:sz w:val="24"/>
                <w:szCs w:val="24"/>
              </w:rPr>
              <w:t>Lỗ lũy kế </w:t>
            </w:r>
            <w:r w:rsidRPr="00EF5441">
              <w:rPr>
                <w:rFonts w:cs="Times New Roman"/>
                <w:color w:val="000000"/>
                <w:sz w:val="24"/>
                <w:szCs w:val="24"/>
              </w:rPr>
              <w:t xml:space="preserve">tại thời điểm tính tỷ lệ </w:t>
            </w:r>
            <w:proofErr w:type="gramStart"/>
            <w:r w:rsidRPr="00EF5441">
              <w:rPr>
                <w:rFonts w:cs="Times New Roman"/>
                <w:color w:val="000000"/>
                <w:sz w:val="24"/>
                <w:szCs w:val="24"/>
              </w:rPr>
              <w:t>an</w:t>
            </w:r>
            <w:proofErr w:type="gramEnd"/>
            <w:r w:rsidRPr="00EF5441">
              <w:rPr>
                <w:rFonts w:cs="Times New Roman"/>
                <w:color w:val="000000"/>
                <w:sz w:val="24"/>
                <w:szCs w:val="24"/>
              </w:rPr>
              <w:t xml:space="preserve"> toàn vốn.</w:t>
            </w:r>
          </w:p>
        </w:tc>
      </w:tr>
      <w:tr w:rsidR="003171AF" w:rsidRPr="009948F3" w14:paraId="15C2AAA5" w14:textId="77777777" w:rsidTr="00FF2701">
        <w:trPr>
          <w:jc w:val="center"/>
        </w:trPr>
        <w:tc>
          <w:tcPr>
            <w:tcW w:w="911" w:type="dxa"/>
            <w:shd w:val="clear" w:color="auto" w:fill="auto"/>
            <w:vAlign w:val="center"/>
          </w:tcPr>
          <w:p w14:paraId="0FE23400"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lastRenderedPageBreak/>
              <w:t>(</w:t>
            </w:r>
            <w:r>
              <w:rPr>
                <w:rFonts w:cs="Times New Roman"/>
                <w:sz w:val="24"/>
                <w:szCs w:val="24"/>
              </w:rPr>
              <w:t>13</w:t>
            </w:r>
            <w:r w:rsidRPr="00EF5441">
              <w:rPr>
                <w:rFonts w:cs="Times New Roman"/>
                <w:sz w:val="24"/>
                <w:szCs w:val="24"/>
              </w:rPr>
              <w:t>)</w:t>
            </w:r>
          </w:p>
        </w:tc>
        <w:tc>
          <w:tcPr>
            <w:tcW w:w="5040" w:type="dxa"/>
            <w:shd w:val="clear" w:color="auto" w:fill="auto"/>
            <w:vAlign w:val="center"/>
          </w:tcPr>
          <w:p w14:paraId="73F1ACD4" w14:textId="7E5D2144" w:rsidR="003171AF" w:rsidRPr="00EF5441" w:rsidRDefault="003171AF" w:rsidP="00CC7D8C">
            <w:pPr>
              <w:spacing w:before="120" w:after="120"/>
              <w:jc w:val="both"/>
              <w:rPr>
                <w:rFonts w:cs="Times New Roman"/>
                <w:sz w:val="24"/>
                <w:szCs w:val="24"/>
              </w:rPr>
            </w:pPr>
            <w:r w:rsidRPr="00EF5441">
              <w:rPr>
                <w:rFonts w:cs="Times New Roman"/>
                <w:sz w:val="24"/>
                <w:szCs w:val="24"/>
              </w:rPr>
              <w:t>Phần chênh lệch dương của tổng mức tổn thất dự kiến so với dự phòng</w:t>
            </w:r>
            <w:r w:rsidR="00FA16BC">
              <w:rPr>
                <w:rFonts w:cs="Times New Roman"/>
                <w:sz w:val="24"/>
                <w:szCs w:val="24"/>
              </w:rPr>
              <w:t xml:space="preserve"> rủi ro</w:t>
            </w:r>
            <w:r w:rsidRPr="00EF5441">
              <w:rPr>
                <w:rFonts w:cs="Times New Roman"/>
                <w:sz w:val="24"/>
                <w:szCs w:val="24"/>
              </w:rPr>
              <w:t xml:space="preserve"> của danh mục tài sản </w:t>
            </w:r>
            <w:r w:rsidR="00E72FA9" w:rsidRPr="00E72FA9">
              <w:rPr>
                <w:rFonts w:cs="Times New Roman"/>
                <w:sz w:val="24"/>
                <w:szCs w:val="24"/>
              </w:rPr>
              <w:t xml:space="preserve">áp dụng </w:t>
            </w:r>
            <w:r w:rsidR="00904DDB" w:rsidRPr="00904DDB">
              <w:rPr>
                <w:rFonts w:cs="Times New Roman"/>
                <w:sz w:val="24"/>
                <w:szCs w:val="24"/>
              </w:rPr>
              <w:t>phương pháp xếp hạng nội bộ</w:t>
            </w:r>
          </w:p>
        </w:tc>
        <w:tc>
          <w:tcPr>
            <w:tcW w:w="6945" w:type="dxa"/>
          </w:tcPr>
          <w:p w14:paraId="19803023" w14:textId="33343C08"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Chỉ tính chênh lệch cho danh mục tài sản </w:t>
            </w:r>
            <w:r w:rsidR="00E72FA9" w:rsidRPr="00E72FA9">
              <w:rPr>
                <w:rFonts w:cs="Times New Roman"/>
                <w:sz w:val="24"/>
                <w:szCs w:val="24"/>
              </w:rPr>
              <w:t xml:space="preserve">áp dụng </w:t>
            </w:r>
            <w:r w:rsidR="00904DDB" w:rsidRPr="00904DDB">
              <w:rPr>
                <w:rFonts w:cs="Times New Roman"/>
                <w:sz w:val="24"/>
                <w:szCs w:val="24"/>
              </w:rPr>
              <w:t>phương pháp xếp hạng nội bộ</w:t>
            </w:r>
            <w:r w:rsidR="00971BA2">
              <w:rPr>
                <w:rFonts w:cs="Times New Roman"/>
                <w:sz w:val="24"/>
                <w:szCs w:val="24"/>
              </w:rPr>
              <w:t xml:space="preserve"> theo quy định tại khoản 1 Điều </w:t>
            </w:r>
            <w:r w:rsidR="005D174C">
              <w:rPr>
                <w:rFonts w:cs="Times New Roman"/>
                <w:sz w:val="24"/>
                <w:szCs w:val="24"/>
              </w:rPr>
              <w:t>62</w:t>
            </w:r>
            <w:r w:rsidR="00971BA2">
              <w:rPr>
                <w:rFonts w:cs="Times New Roman"/>
                <w:sz w:val="24"/>
                <w:szCs w:val="24"/>
              </w:rPr>
              <w:t xml:space="preserve"> Thông tư này</w:t>
            </w:r>
            <w:r w:rsidRPr="00EF5441">
              <w:rPr>
                <w:rFonts w:cs="Times New Roman"/>
                <w:sz w:val="24"/>
                <w:szCs w:val="24"/>
              </w:rPr>
              <w:t>;</w:t>
            </w:r>
          </w:p>
          <w:p w14:paraId="65C37093" w14:textId="3089D08A" w:rsidR="003171AF" w:rsidRPr="00EF5441" w:rsidRDefault="003171AF" w:rsidP="00CC7D8C">
            <w:pPr>
              <w:spacing w:before="120" w:after="120"/>
              <w:jc w:val="both"/>
              <w:rPr>
                <w:rFonts w:cs="Times New Roman"/>
                <w:sz w:val="24"/>
                <w:szCs w:val="24"/>
              </w:rPr>
            </w:pPr>
            <w:r>
              <w:rPr>
                <w:rFonts w:cs="Times New Roman"/>
                <w:sz w:val="24"/>
                <w:szCs w:val="24"/>
              </w:rPr>
              <w:t>Chi nhánh ngân hàng nước ngoài</w:t>
            </w:r>
            <w:r w:rsidRPr="00EF5441">
              <w:rPr>
                <w:rFonts w:cs="Times New Roman"/>
                <w:sz w:val="24"/>
                <w:szCs w:val="24"/>
              </w:rPr>
              <w:t xml:space="preserve"> trừ 50% phần chênh lệch vào vốn lõi cấp 1 và 50% phần chênh lệch còn lại vào vốn cấp 2 trong 02 năm kể từ ngày được Ngân hàng Nhà nước chấp thuận áp dụng </w:t>
            </w:r>
            <w:r w:rsidR="00904DDB">
              <w:rPr>
                <w:rFonts w:cs="Times New Roman"/>
                <w:sz w:val="24"/>
                <w:szCs w:val="24"/>
              </w:rPr>
              <w:t>phương pháp xếp hạng nội bộ</w:t>
            </w:r>
            <w:r w:rsidRPr="00EF5441">
              <w:rPr>
                <w:rFonts w:cs="Times New Roman"/>
                <w:sz w:val="24"/>
                <w:szCs w:val="24"/>
              </w:rPr>
              <w:t xml:space="preserve">. Kể từ năm thứ </w:t>
            </w:r>
            <w:r w:rsidR="00A23B06">
              <w:rPr>
                <w:rFonts w:cs="Times New Roman"/>
                <w:sz w:val="24"/>
                <w:szCs w:val="24"/>
              </w:rPr>
              <w:t>ba</w:t>
            </w:r>
            <w:r w:rsidRPr="00EF5441">
              <w:rPr>
                <w:rFonts w:cs="Times New Roman"/>
                <w:sz w:val="24"/>
                <w:szCs w:val="24"/>
              </w:rPr>
              <w:t xml:space="preserve"> trở đi, </w:t>
            </w:r>
            <w:r>
              <w:rPr>
                <w:rFonts w:cs="Times New Roman"/>
                <w:sz w:val="24"/>
                <w:szCs w:val="24"/>
              </w:rPr>
              <w:t>chi nhánh ngân hàng nước ngoài</w:t>
            </w:r>
            <w:r w:rsidRPr="00EF5441">
              <w:rPr>
                <w:rFonts w:cs="Times New Roman"/>
                <w:sz w:val="24"/>
                <w:szCs w:val="24"/>
              </w:rPr>
              <w:t xml:space="preserve"> trừ toàn bộ phần chênh lệch vào vốn lõi cấp 1.</w:t>
            </w:r>
          </w:p>
        </w:tc>
      </w:tr>
      <w:tr w:rsidR="003171AF" w:rsidRPr="009948F3" w14:paraId="3B860BA9" w14:textId="77777777" w:rsidTr="00FF2701">
        <w:trPr>
          <w:jc w:val="center"/>
        </w:trPr>
        <w:tc>
          <w:tcPr>
            <w:tcW w:w="911" w:type="dxa"/>
            <w:shd w:val="clear" w:color="auto" w:fill="auto"/>
            <w:vAlign w:val="center"/>
          </w:tcPr>
          <w:p w14:paraId="68193D5A"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(1</w:t>
            </w:r>
            <w:r>
              <w:rPr>
                <w:rFonts w:cs="Times New Roman"/>
                <w:sz w:val="24"/>
                <w:szCs w:val="24"/>
              </w:rPr>
              <w:t>4</w:t>
            </w:r>
            <w:r w:rsidRPr="00EF5441">
              <w:rPr>
                <w:rFonts w:cs="Times New Roman"/>
                <w:sz w:val="24"/>
                <w:szCs w:val="24"/>
              </w:rPr>
              <w:t>)</w:t>
            </w:r>
          </w:p>
        </w:tc>
        <w:tc>
          <w:tcPr>
            <w:tcW w:w="5040" w:type="dxa"/>
            <w:shd w:val="clear" w:color="auto" w:fill="auto"/>
            <w:vAlign w:val="center"/>
          </w:tcPr>
          <w:p w14:paraId="2B53957D" w14:textId="3E1C89B8"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Phần chênh lệch dương giữa tổng Tài sản </w:t>
            </w:r>
            <w:r w:rsidR="006746E2">
              <w:rPr>
                <w:rFonts w:cs="Times New Roman"/>
                <w:sz w:val="24"/>
                <w:szCs w:val="24"/>
              </w:rPr>
              <w:t xml:space="preserve">cố định </w:t>
            </w:r>
            <w:r w:rsidRPr="00EF5441">
              <w:rPr>
                <w:rFonts w:cs="Times New Roman"/>
                <w:sz w:val="24"/>
                <w:szCs w:val="24"/>
              </w:rPr>
              <w:t>vô hình là quyền sử dụng và 15% của A11 sau khi trừ đi các khoản phải trừ từ (1</w:t>
            </w:r>
            <w:r>
              <w:rPr>
                <w:rFonts w:cs="Times New Roman"/>
                <w:sz w:val="24"/>
                <w:szCs w:val="24"/>
              </w:rPr>
              <w:t>0</w:t>
            </w:r>
            <w:r w:rsidRPr="00EF5441">
              <w:rPr>
                <w:rFonts w:cs="Times New Roman"/>
                <w:sz w:val="24"/>
                <w:szCs w:val="24"/>
              </w:rPr>
              <w:t>) đến (1</w:t>
            </w:r>
            <w:r>
              <w:rPr>
                <w:rFonts w:cs="Times New Roman"/>
                <w:sz w:val="24"/>
                <w:szCs w:val="24"/>
              </w:rPr>
              <w:t>3</w:t>
            </w:r>
            <w:r w:rsidRPr="00EF5441">
              <w:rPr>
                <w:rFonts w:cs="Times New Roman"/>
                <w:sz w:val="24"/>
                <w:szCs w:val="24"/>
              </w:rPr>
              <w:t>)</w:t>
            </w:r>
          </w:p>
        </w:tc>
        <w:tc>
          <w:tcPr>
            <w:tcW w:w="6945" w:type="dxa"/>
          </w:tcPr>
          <w:p w14:paraId="409AB68D" w14:textId="377CA45A" w:rsidR="003171AF" w:rsidRPr="00EF5441" w:rsidRDefault="003171AF" w:rsidP="00CC7D8C">
            <w:pPr>
              <w:tabs>
                <w:tab w:val="left" w:pos="276"/>
              </w:tabs>
              <w:spacing w:before="120" w:after="120"/>
              <w:jc w:val="both"/>
              <w:rPr>
                <w:rFonts w:cs="Times New Roman"/>
                <w:sz w:val="24"/>
                <w:szCs w:val="24"/>
              </w:rPr>
            </w:pPr>
            <w:r w:rsidRPr="00EF5441">
              <w:rPr>
                <w:rFonts w:cs="Times New Roman"/>
                <w:sz w:val="24"/>
                <w:szCs w:val="24"/>
              </w:rPr>
              <w:t>-</w:t>
            </w:r>
            <w:r w:rsidRPr="00EF5441">
              <w:rPr>
                <w:rFonts w:cs="Times New Roman"/>
                <w:sz w:val="24"/>
                <w:szCs w:val="24"/>
              </w:rPr>
              <w:tab/>
              <w:t xml:space="preserve">N1 =  Tài sản </w:t>
            </w:r>
            <w:r w:rsidR="006746E2">
              <w:rPr>
                <w:rFonts w:cs="Times New Roman"/>
                <w:sz w:val="24"/>
                <w:szCs w:val="24"/>
              </w:rPr>
              <w:t xml:space="preserve">cố định </w:t>
            </w:r>
            <w:r w:rsidRPr="00EF5441">
              <w:rPr>
                <w:rFonts w:cs="Times New Roman"/>
                <w:sz w:val="24"/>
                <w:szCs w:val="24"/>
              </w:rPr>
              <w:t>vô hình là Quyền sử dụng đất;</w:t>
            </w:r>
          </w:p>
          <w:p w14:paraId="0A5A0668" w14:textId="3721C138" w:rsidR="003171AF" w:rsidRPr="00EF5441" w:rsidRDefault="003171AF" w:rsidP="00CC7D8C">
            <w:pPr>
              <w:tabs>
                <w:tab w:val="left" w:pos="276"/>
              </w:tabs>
              <w:spacing w:before="120" w:after="120"/>
              <w:jc w:val="both"/>
              <w:rPr>
                <w:rFonts w:cs="Times New Roman"/>
                <w:sz w:val="24"/>
                <w:szCs w:val="24"/>
              </w:rPr>
            </w:pPr>
            <w:r w:rsidRPr="00EF5441">
              <w:rPr>
                <w:rFonts w:cs="Times New Roman"/>
                <w:sz w:val="24"/>
                <w:szCs w:val="24"/>
              </w:rPr>
              <w:t>-</w:t>
            </w:r>
            <w:r w:rsidRPr="00EF5441">
              <w:rPr>
                <w:rFonts w:cs="Times New Roman"/>
                <w:sz w:val="24"/>
                <w:szCs w:val="24"/>
              </w:rPr>
              <w:tab/>
              <w:t xml:space="preserve">N2 = 15% * </w:t>
            </w:r>
            <w:r w:rsidR="00971BA2">
              <w:rPr>
                <w:rFonts w:cs="Times New Roman"/>
                <w:sz w:val="24"/>
                <w:szCs w:val="24"/>
              </w:rPr>
              <w:t>[</w:t>
            </w:r>
            <w:r w:rsidRPr="00EF5441">
              <w:rPr>
                <w:rFonts w:cs="Times New Roman"/>
                <w:sz w:val="24"/>
                <w:szCs w:val="24"/>
              </w:rPr>
              <w:t>(A11</w:t>
            </w:r>
            <w:r w:rsidR="00971BA2">
              <w:rPr>
                <w:rFonts w:cs="Times New Roman"/>
                <w:sz w:val="24"/>
                <w:szCs w:val="24"/>
              </w:rPr>
              <w:t>)</w:t>
            </w:r>
            <w:r w:rsidRPr="00EF5441">
              <w:rPr>
                <w:rFonts w:cs="Times New Roman"/>
                <w:sz w:val="24"/>
                <w:szCs w:val="24"/>
              </w:rPr>
              <w:t xml:space="preserve"> – ∑</w:t>
            </w:r>
            <w:r w:rsidR="00971BA2">
              <w:rPr>
                <w:rFonts w:cs="Times New Roman"/>
                <w:sz w:val="24"/>
                <w:szCs w:val="24"/>
              </w:rPr>
              <w:t>(</w:t>
            </w:r>
            <w:r w:rsidRPr="00EF5441">
              <w:rPr>
                <w:rFonts w:cs="Times New Roman"/>
                <w:sz w:val="24"/>
                <w:szCs w:val="24"/>
              </w:rPr>
              <w:t>1</w:t>
            </w:r>
            <w:r w:rsidR="00FA16BC">
              <w:rPr>
                <w:rFonts w:cs="Times New Roman"/>
                <w:sz w:val="24"/>
                <w:szCs w:val="24"/>
              </w:rPr>
              <w:t>0</w:t>
            </w:r>
            <w:r w:rsidR="00971BA2">
              <w:rPr>
                <w:rFonts w:cs="Times New Roman"/>
                <w:sz w:val="24"/>
                <w:szCs w:val="24"/>
              </w:rPr>
              <w:t>)</w:t>
            </w:r>
            <w:r w:rsidRPr="00EF5441">
              <w:rPr>
                <w:rFonts w:cs="Times New Roman"/>
                <w:sz w:val="24"/>
                <w:szCs w:val="24"/>
              </w:rPr>
              <w:t xml:space="preserve">÷ </w:t>
            </w:r>
            <w:r w:rsidR="00971BA2">
              <w:rPr>
                <w:rFonts w:cs="Times New Roman"/>
                <w:sz w:val="24"/>
                <w:szCs w:val="24"/>
              </w:rPr>
              <w:t>(</w:t>
            </w:r>
            <w:r w:rsidRPr="00EF5441">
              <w:rPr>
                <w:rFonts w:cs="Times New Roman"/>
                <w:sz w:val="24"/>
                <w:szCs w:val="24"/>
              </w:rPr>
              <w:t>1</w:t>
            </w:r>
            <w:r w:rsidR="00FA16BC">
              <w:rPr>
                <w:rFonts w:cs="Times New Roman"/>
                <w:sz w:val="24"/>
                <w:szCs w:val="24"/>
              </w:rPr>
              <w:t>3</w:t>
            </w:r>
            <w:r w:rsidRPr="00EF5441">
              <w:rPr>
                <w:rFonts w:cs="Times New Roman"/>
                <w:sz w:val="24"/>
                <w:szCs w:val="24"/>
              </w:rPr>
              <w:t>)</w:t>
            </w:r>
            <w:r w:rsidR="00971BA2">
              <w:rPr>
                <w:rFonts w:cs="Times New Roman"/>
                <w:sz w:val="24"/>
                <w:szCs w:val="24"/>
              </w:rPr>
              <w:t>]</w:t>
            </w:r>
            <w:r w:rsidRPr="00EF5441">
              <w:rPr>
                <w:rFonts w:cs="Times New Roman"/>
                <w:sz w:val="24"/>
                <w:szCs w:val="24"/>
              </w:rPr>
              <w:t>;</w:t>
            </w:r>
          </w:p>
          <w:p w14:paraId="3AB48CB0" w14:textId="77777777" w:rsidR="003171AF" w:rsidRPr="00EF5441" w:rsidRDefault="003171AF" w:rsidP="00CC7D8C">
            <w:pPr>
              <w:tabs>
                <w:tab w:val="left" w:pos="276"/>
              </w:tabs>
              <w:spacing w:before="120" w:after="120"/>
              <w:jc w:val="both"/>
              <w:rPr>
                <w:rFonts w:cs="Times New Roman"/>
                <w:sz w:val="24"/>
                <w:szCs w:val="24"/>
              </w:rPr>
            </w:pPr>
            <w:r w:rsidRPr="00EF5441">
              <w:rPr>
                <w:rFonts w:cs="Times New Roman"/>
                <w:sz w:val="24"/>
                <w:szCs w:val="24"/>
              </w:rPr>
              <w:t>-</w:t>
            </w:r>
            <w:r w:rsidRPr="00EF5441">
              <w:rPr>
                <w:rFonts w:cs="Times New Roman"/>
                <w:sz w:val="24"/>
                <w:szCs w:val="24"/>
              </w:rPr>
              <w:tab/>
              <w:t>Lấy giá trị N1 – N2 &gt; 0</w:t>
            </w:r>
          </w:p>
        </w:tc>
      </w:tr>
      <w:tr w:rsidR="003171AF" w:rsidRPr="009948F3" w14:paraId="711D9458" w14:textId="77777777" w:rsidTr="00FF2701">
        <w:trPr>
          <w:jc w:val="center"/>
        </w:trPr>
        <w:tc>
          <w:tcPr>
            <w:tcW w:w="911" w:type="dxa"/>
            <w:shd w:val="clear" w:color="auto" w:fill="auto"/>
            <w:vAlign w:val="center"/>
          </w:tcPr>
          <w:p w14:paraId="207A366D" w14:textId="77777777" w:rsidR="003171AF" w:rsidRPr="00EF5441" w:rsidRDefault="003171AF" w:rsidP="00CC7D8C">
            <w:pPr>
              <w:spacing w:before="120" w:after="120"/>
              <w:jc w:val="center"/>
              <w:rPr>
                <w:rFonts w:cs="Times New Roman"/>
                <w:sz w:val="24"/>
                <w:szCs w:val="24"/>
              </w:rPr>
            </w:pPr>
            <w:r w:rsidRPr="00EF5441">
              <w:rPr>
                <w:rFonts w:cs="Times New Roman"/>
                <w:sz w:val="24"/>
                <w:szCs w:val="24"/>
              </w:rPr>
              <w:t>(1</w:t>
            </w:r>
            <w:r>
              <w:rPr>
                <w:rFonts w:cs="Times New Roman"/>
                <w:sz w:val="24"/>
                <w:szCs w:val="24"/>
              </w:rPr>
              <w:t>5</w:t>
            </w:r>
            <w:r w:rsidRPr="00EF5441">
              <w:rPr>
                <w:rFonts w:cs="Times New Roman"/>
                <w:sz w:val="24"/>
                <w:szCs w:val="24"/>
              </w:rPr>
              <w:t>)</w:t>
            </w:r>
          </w:p>
        </w:tc>
        <w:tc>
          <w:tcPr>
            <w:tcW w:w="5040" w:type="dxa"/>
            <w:shd w:val="clear" w:color="auto" w:fill="auto"/>
            <w:vAlign w:val="center"/>
          </w:tcPr>
          <w:p w14:paraId="0B86B9E2"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Phần bù cho giá trị âm của </w:t>
            </w:r>
            <w:r>
              <w:rPr>
                <w:rFonts w:cs="Times New Roman"/>
                <w:sz w:val="24"/>
                <w:szCs w:val="24"/>
              </w:rPr>
              <w:t>Vốn cấp 2</w:t>
            </w:r>
          </w:p>
        </w:tc>
        <w:tc>
          <w:tcPr>
            <w:tcW w:w="6945" w:type="dxa"/>
          </w:tcPr>
          <w:p w14:paraId="4A95D51D" w14:textId="77777777" w:rsidR="003171AF" w:rsidRPr="00EF5441" w:rsidRDefault="003171AF" w:rsidP="00CC7D8C">
            <w:pPr>
              <w:spacing w:before="120" w:after="120"/>
              <w:jc w:val="both"/>
              <w:rPr>
                <w:rFonts w:cs="Times New Roman"/>
                <w:sz w:val="24"/>
                <w:szCs w:val="24"/>
              </w:rPr>
            </w:pPr>
            <w:r>
              <w:rPr>
                <w:rFonts w:cs="Times New Roman"/>
                <w:sz w:val="24"/>
                <w:szCs w:val="24"/>
              </w:rPr>
              <w:t xml:space="preserve">Trường hợp B&lt;0, lấy giá trị giảm trừ là </w:t>
            </w:r>
            <m:oMath>
              <m:d>
                <m:dPr>
                  <m:begChr m:val="|"/>
                  <m:endChr m:val="|"/>
                  <m:ctrlPr>
                    <w:rPr>
                      <w:rFonts w:ascii="Cambria Math" w:hAnsi="Cambria Math" w:cs="Times New Roman"/>
                      <w:i/>
                      <w:sz w:val="24"/>
                      <w:szCs w:val="24"/>
                    </w:rPr>
                  </m:ctrlPr>
                </m:dPr>
                <m:e>
                  <m:r>
                    <w:rPr>
                      <w:rFonts w:ascii="Cambria Math" w:hAnsi="Cambria Math" w:cs="Times New Roman"/>
                      <w:sz w:val="24"/>
                      <w:szCs w:val="24"/>
                    </w:rPr>
                    <m:t>B</m:t>
                  </m:r>
                </m:e>
              </m:d>
            </m:oMath>
          </w:p>
        </w:tc>
      </w:tr>
      <w:tr w:rsidR="003171AF" w:rsidRPr="009948F3" w14:paraId="403699C3" w14:textId="77777777" w:rsidTr="00FF2701">
        <w:trPr>
          <w:jc w:val="center"/>
        </w:trPr>
        <w:tc>
          <w:tcPr>
            <w:tcW w:w="911" w:type="dxa"/>
            <w:shd w:val="clear" w:color="auto" w:fill="auto"/>
            <w:vAlign w:val="center"/>
          </w:tcPr>
          <w:p w14:paraId="16D0F9DE" w14:textId="77777777" w:rsidR="003171AF" w:rsidRPr="00EF5441" w:rsidRDefault="003171AF" w:rsidP="00CC7D8C">
            <w:pPr>
              <w:spacing w:before="120" w:after="120"/>
              <w:jc w:val="center"/>
              <w:rPr>
                <w:rFonts w:cs="Times New Roman"/>
                <w:sz w:val="24"/>
                <w:szCs w:val="24"/>
              </w:rPr>
            </w:pPr>
          </w:p>
        </w:tc>
        <w:tc>
          <w:tcPr>
            <w:tcW w:w="5040" w:type="dxa"/>
            <w:shd w:val="clear" w:color="auto" w:fill="auto"/>
            <w:vAlign w:val="center"/>
          </w:tcPr>
          <w:p w14:paraId="6A0E83E6" w14:textId="77777777" w:rsidR="003171AF" w:rsidRPr="00EF5441" w:rsidRDefault="003171AF" w:rsidP="00CC7D8C">
            <w:pPr>
              <w:spacing w:before="120" w:after="120"/>
              <w:jc w:val="both"/>
              <w:rPr>
                <w:rFonts w:cs="Times New Roman"/>
                <w:b/>
                <w:bCs/>
                <w:sz w:val="24"/>
                <w:szCs w:val="24"/>
              </w:rPr>
            </w:pPr>
            <w:r w:rsidRPr="00EF5441">
              <w:rPr>
                <w:rFonts w:cs="Times New Roman"/>
                <w:b/>
                <w:bCs/>
                <w:sz w:val="24"/>
                <w:szCs w:val="24"/>
              </w:rPr>
              <w:t>VỐN CẤP 2 (B) = B1 – B2</w:t>
            </w:r>
          </w:p>
        </w:tc>
        <w:tc>
          <w:tcPr>
            <w:tcW w:w="6945" w:type="dxa"/>
          </w:tcPr>
          <w:p w14:paraId="49E70EFB" w14:textId="77777777" w:rsidR="003171AF" w:rsidRPr="00EF5441" w:rsidRDefault="003171AF" w:rsidP="00CC7D8C">
            <w:pPr>
              <w:spacing w:before="120" w:after="120"/>
              <w:jc w:val="both"/>
              <w:rPr>
                <w:rFonts w:cs="Times New Roman"/>
                <w:sz w:val="24"/>
                <w:szCs w:val="24"/>
              </w:rPr>
            </w:pPr>
          </w:p>
        </w:tc>
      </w:tr>
      <w:tr w:rsidR="003171AF" w:rsidRPr="009948F3" w14:paraId="1A29DF54" w14:textId="77777777" w:rsidTr="00FF2701">
        <w:trPr>
          <w:jc w:val="center"/>
        </w:trPr>
        <w:tc>
          <w:tcPr>
            <w:tcW w:w="911" w:type="dxa"/>
            <w:shd w:val="clear" w:color="auto" w:fill="auto"/>
            <w:vAlign w:val="center"/>
          </w:tcPr>
          <w:p w14:paraId="09B59ADF" w14:textId="51F5EA23" w:rsidR="003171AF" w:rsidRPr="00EF5441" w:rsidRDefault="003171AF" w:rsidP="00CC7D8C">
            <w:pPr>
              <w:spacing w:before="120" w:after="120"/>
              <w:jc w:val="center"/>
              <w:rPr>
                <w:rFonts w:cs="Times New Roman"/>
                <w:sz w:val="24"/>
                <w:szCs w:val="24"/>
              </w:rPr>
            </w:pPr>
          </w:p>
        </w:tc>
        <w:tc>
          <w:tcPr>
            <w:tcW w:w="5040" w:type="dxa"/>
            <w:shd w:val="clear" w:color="auto" w:fill="auto"/>
            <w:vAlign w:val="center"/>
          </w:tcPr>
          <w:p w14:paraId="17030600" w14:textId="447A8936" w:rsidR="003171AF" w:rsidRPr="00EF5441" w:rsidRDefault="003171AF" w:rsidP="00CC7D8C">
            <w:pPr>
              <w:spacing w:before="120" w:after="120"/>
              <w:jc w:val="both"/>
              <w:rPr>
                <w:rFonts w:cs="Times New Roman"/>
                <w:b/>
                <w:bCs/>
                <w:sz w:val="24"/>
                <w:szCs w:val="24"/>
              </w:rPr>
            </w:pPr>
            <w:r w:rsidRPr="00EF5441">
              <w:rPr>
                <w:rFonts w:cs="Times New Roman"/>
                <w:b/>
                <w:bCs/>
                <w:sz w:val="24"/>
                <w:szCs w:val="24"/>
              </w:rPr>
              <w:t>Vốn cấp 2 chưa giảm trừ (B1)=</w:t>
            </w:r>
            <w:r w:rsidRPr="00EF5441">
              <w:rPr>
                <w:rFonts w:cs="Times New Roman"/>
                <w:b/>
                <w:bCs/>
                <w:sz w:val="24"/>
                <w:szCs w:val="24"/>
                <w:lang w:val="pt-BR"/>
              </w:rPr>
              <w:t xml:space="preserve"> ∑</w:t>
            </w:r>
            <w:r w:rsidR="00FA16BC">
              <w:rPr>
                <w:rFonts w:cs="Times New Roman"/>
                <w:b/>
                <w:bCs/>
                <w:sz w:val="24"/>
                <w:szCs w:val="24"/>
                <w:lang w:val="pt-BR"/>
              </w:rPr>
              <w:t>(</w:t>
            </w:r>
            <w:r>
              <w:rPr>
                <w:rFonts w:cs="Times New Roman"/>
                <w:b/>
                <w:bCs/>
                <w:sz w:val="24"/>
                <w:szCs w:val="24"/>
                <w:lang w:val="pt-BR"/>
              </w:rPr>
              <w:t>1</w:t>
            </w:r>
            <w:r w:rsidR="00FA16BC">
              <w:rPr>
                <w:rFonts w:cs="Times New Roman"/>
                <w:b/>
                <w:bCs/>
                <w:sz w:val="24"/>
                <w:szCs w:val="24"/>
                <w:lang w:val="pt-BR"/>
              </w:rPr>
              <w:t xml:space="preserve">6) </w:t>
            </w:r>
            <w:r w:rsidRPr="00EF5441">
              <w:rPr>
                <w:rFonts w:cs="Times New Roman"/>
                <w:b/>
                <w:bCs/>
                <w:sz w:val="24"/>
                <w:szCs w:val="24"/>
                <w:lang w:val="pt-BR"/>
              </w:rPr>
              <w:t>÷</w:t>
            </w:r>
            <w:r w:rsidR="00FA16BC">
              <w:rPr>
                <w:rFonts w:cs="Times New Roman"/>
                <w:b/>
                <w:bCs/>
                <w:sz w:val="24"/>
                <w:szCs w:val="24"/>
                <w:lang w:val="pt-BR"/>
              </w:rPr>
              <w:t>(18)</w:t>
            </w:r>
          </w:p>
        </w:tc>
        <w:tc>
          <w:tcPr>
            <w:tcW w:w="6945" w:type="dxa"/>
          </w:tcPr>
          <w:p w14:paraId="6A09EF2F" w14:textId="77777777" w:rsidR="003171AF" w:rsidRPr="00EF5441" w:rsidRDefault="003171AF" w:rsidP="00CC7D8C">
            <w:pPr>
              <w:spacing w:before="120" w:after="120"/>
              <w:jc w:val="both"/>
              <w:rPr>
                <w:rFonts w:cs="Times New Roman"/>
                <w:sz w:val="24"/>
                <w:szCs w:val="24"/>
              </w:rPr>
            </w:pPr>
          </w:p>
        </w:tc>
      </w:tr>
      <w:tr w:rsidR="003171AF" w:rsidRPr="009948F3" w14:paraId="6CADF49B" w14:textId="77777777" w:rsidTr="00FF2701">
        <w:trPr>
          <w:jc w:val="center"/>
        </w:trPr>
        <w:tc>
          <w:tcPr>
            <w:tcW w:w="911" w:type="dxa"/>
            <w:shd w:val="clear" w:color="auto" w:fill="auto"/>
            <w:vAlign w:val="center"/>
          </w:tcPr>
          <w:p w14:paraId="536959A7" w14:textId="01F5BB2C" w:rsidR="003171AF" w:rsidRPr="00EF5441" w:rsidRDefault="00FA16BC" w:rsidP="00CC7D8C">
            <w:pPr>
              <w:spacing w:before="120" w:after="120"/>
              <w:jc w:val="center"/>
              <w:rPr>
                <w:rFonts w:cs="Times New Roman"/>
                <w:sz w:val="24"/>
                <w:szCs w:val="24"/>
              </w:rPr>
            </w:pPr>
            <w:r>
              <w:rPr>
                <w:rFonts w:cs="Times New Roman"/>
                <w:sz w:val="24"/>
                <w:szCs w:val="24"/>
              </w:rPr>
              <w:t>(</w:t>
            </w:r>
            <w:r w:rsidR="003171AF">
              <w:rPr>
                <w:rFonts w:cs="Times New Roman"/>
                <w:sz w:val="24"/>
                <w:szCs w:val="24"/>
              </w:rPr>
              <w:t>1</w:t>
            </w:r>
            <w:r>
              <w:rPr>
                <w:rFonts w:cs="Times New Roman"/>
                <w:sz w:val="24"/>
                <w:szCs w:val="24"/>
              </w:rPr>
              <w:t>6</w:t>
            </w:r>
            <w:r w:rsidR="003171AF" w:rsidRPr="00EF5441">
              <w:rPr>
                <w:rFonts w:cs="Times New Roman"/>
                <w:sz w:val="24"/>
                <w:szCs w:val="24"/>
              </w:rPr>
              <w:t>)</w:t>
            </w:r>
          </w:p>
        </w:tc>
        <w:tc>
          <w:tcPr>
            <w:tcW w:w="5040" w:type="dxa"/>
            <w:shd w:val="clear" w:color="auto" w:fill="auto"/>
            <w:vAlign w:val="center"/>
          </w:tcPr>
          <w:p w14:paraId="0BA14818"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Nợ thứ cấp do ngân hàng phát hành, ký kết đáp ứng đầy đủ các điều kiện sau:</w:t>
            </w:r>
          </w:p>
          <w:p w14:paraId="45576DD3" w14:textId="17CF0B0A"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(i) Có kỳ hạn ban đầu từ </w:t>
            </w:r>
            <w:r w:rsidR="00A23B06">
              <w:rPr>
                <w:rFonts w:cs="Times New Roman"/>
                <w:sz w:val="24"/>
                <w:szCs w:val="24"/>
              </w:rPr>
              <w:t xml:space="preserve">05 </w:t>
            </w:r>
            <w:r w:rsidRPr="00EF5441">
              <w:rPr>
                <w:rFonts w:cs="Times New Roman"/>
                <w:sz w:val="24"/>
                <w:szCs w:val="24"/>
              </w:rPr>
              <w:t>năm trở lên;</w:t>
            </w:r>
          </w:p>
          <w:p w14:paraId="461D1ED4"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(ii) Không được đảm bảo bằng tài sản của chính ngân hàng;</w:t>
            </w:r>
          </w:p>
          <w:p w14:paraId="6634896C" w14:textId="77BF56FC"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(iii) Ngân hàng được trả nợ trước thời gian đáo hạn với điều kiện sau khi thực hiện vẫn đảm bảo các tỷ lệ, giới hạn bảo đảm an toàn theo quy định và báo cáo Ngân </w:t>
            </w:r>
            <w:r w:rsidRPr="00EF5441">
              <w:rPr>
                <w:rFonts w:cs="Times New Roman"/>
                <w:sz w:val="24"/>
                <w:szCs w:val="24"/>
              </w:rPr>
              <w:lastRenderedPageBreak/>
              <w:t xml:space="preserve">hàng Nhà nước (Cục Quản lý, giám sát tổ chức tín dụng hoặc </w:t>
            </w:r>
            <w:r w:rsidR="00A23B06">
              <w:rPr>
                <w:rFonts w:cs="Times New Roman"/>
                <w:sz w:val="24"/>
                <w:szCs w:val="24"/>
              </w:rPr>
              <w:t>Ngân hàng Nhà nước chi nhánh Khu vực</w:t>
            </w:r>
            <w:r w:rsidRPr="00EF5441">
              <w:rPr>
                <w:rFonts w:cs="Times New Roman"/>
                <w:sz w:val="24"/>
                <w:szCs w:val="24"/>
              </w:rPr>
              <w:t xml:space="preserve"> theo đối tượng giám sát) để giám sát;</w:t>
            </w:r>
          </w:p>
          <w:p w14:paraId="0888EF58"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(iv) Ngân hàng được ngừng trả lãi và chuyển lãi lũy kế sang năm tiếp theo nếu việc trả lãi dẫn đến kết quả kinh doanh trong năm bị lỗ; </w:t>
            </w:r>
          </w:p>
          <w:p w14:paraId="0852C728"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(v) Trong trường hợp thanh lý ngân hàng, người sở hữu khoản nợ thứ cấp chỉ được thanh toán sau khi ngân hàng đã thanh toán cho tất cả các chủ nợ khác; </w:t>
            </w:r>
          </w:p>
          <w:p w14:paraId="6AAF083E"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(vi) Lãi suất cố định hoặc công thức tính lãi suất được xác định trước và ghi rõ trong hợp đồng, tài liệu phát hành.</w:t>
            </w:r>
          </w:p>
          <w:p w14:paraId="57DC3400" w14:textId="4D8861B0"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 Đối với lãi suất cố định, việc điều chỉnh tăng lãi suất chỉ được thực hiện sau </w:t>
            </w:r>
            <w:r w:rsidR="00A23B06">
              <w:rPr>
                <w:rFonts w:cs="Times New Roman"/>
                <w:sz w:val="24"/>
                <w:szCs w:val="24"/>
              </w:rPr>
              <w:t>0</w:t>
            </w:r>
            <w:r w:rsidRPr="00EF5441">
              <w:rPr>
                <w:rFonts w:cs="Times New Roman"/>
                <w:sz w:val="24"/>
                <w:szCs w:val="24"/>
              </w:rPr>
              <w:t xml:space="preserve">5 năm kể từ ngày phát hành, ký kết hợp đồng và chỉ được thay đổi </w:t>
            </w:r>
            <w:r w:rsidR="00A23B06">
              <w:rPr>
                <w:rFonts w:cs="Times New Roman"/>
                <w:sz w:val="24"/>
                <w:szCs w:val="24"/>
              </w:rPr>
              <w:t>0</w:t>
            </w:r>
            <w:r w:rsidRPr="00EF5441">
              <w:rPr>
                <w:rFonts w:cs="Times New Roman"/>
                <w:sz w:val="24"/>
                <w:szCs w:val="24"/>
              </w:rPr>
              <w:t xml:space="preserve">1 lần trong suốt thời hạn của nợ thứ cấp. </w:t>
            </w:r>
          </w:p>
          <w:p w14:paraId="35C3B90B" w14:textId="38F08935" w:rsidR="003171AF" w:rsidRPr="00EF5441" w:rsidRDefault="003171AF" w:rsidP="00CC7D8C">
            <w:pPr>
              <w:spacing w:before="120" w:after="120"/>
              <w:jc w:val="both"/>
              <w:rPr>
                <w:rFonts w:cs="Times New Roman"/>
                <w:b/>
                <w:bCs/>
                <w:sz w:val="24"/>
                <w:szCs w:val="24"/>
              </w:rPr>
            </w:pPr>
            <w:r w:rsidRPr="00EF5441">
              <w:rPr>
                <w:rFonts w:cs="Times New Roman"/>
                <w:sz w:val="24"/>
                <w:szCs w:val="24"/>
              </w:rPr>
              <w:t xml:space="preserve">- Đối với lãi suất tính theo công thức, công thức không được thay đổi và chỉ được thay đổi biên độ trong công thức (nếu có) </w:t>
            </w:r>
            <w:r w:rsidR="00A23B06">
              <w:rPr>
                <w:rFonts w:cs="Times New Roman"/>
                <w:sz w:val="24"/>
                <w:szCs w:val="24"/>
              </w:rPr>
              <w:t>0</w:t>
            </w:r>
            <w:r w:rsidRPr="00EF5441">
              <w:rPr>
                <w:rFonts w:cs="Times New Roman"/>
                <w:sz w:val="24"/>
                <w:szCs w:val="24"/>
              </w:rPr>
              <w:t xml:space="preserve">1 lần sau </w:t>
            </w:r>
            <w:r w:rsidR="00A23B06">
              <w:rPr>
                <w:rFonts w:cs="Times New Roman"/>
                <w:sz w:val="24"/>
                <w:szCs w:val="24"/>
              </w:rPr>
              <w:t>0</w:t>
            </w:r>
            <w:r w:rsidRPr="00EF5441">
              <w:rPr>
                <w:rFonts w:cs="Times New Roman"/>
                <w:sz w:val="24"/>
                <w:szCs w:val="24"/>
              </w:rPr>
              <w:t>5 năm kể từ ngày phát hành, ký kết hợp đồng.</w:t>
            </w:r>
          </w:p>
        </w:tc>
        <w:tc>
          <w:tcPr>
            <w:tcW w:w="6945" w:type="dxa"/>
          </w:tcPr>
          <w:p w14:paraId="309EBB0E" w14:textId="54956401" w:rsidR="003171AF" w:rsidRPr="00EF5441" w:rsidRDefault="003171AF" w:rsidP="00CC7D8C">
            <w:pPr>
              <w:spacing w:before="120" w:after="120"/>
              <w:jc w:val="both"/>
              <w:rPr>
                <w:rFonts w:cs="Times New Roman"/>
                <w:sz w:val="24"/>
                <w:szCs w:val="24"/>
              </w:rPr>
            </w:pPr>
            <w:r w:rsidRPr="00EF5441">
              <w:rPr>
                <w:rFonts w:cs="Times New Roman"/>
                <w:sz w:val="24"/>
                <w:szCs w:val="24"/>
              </w:rPr>
              <w:lastRenderedPageBreak/>
              <w:t xml:space="preserve">- Tại thời điểm xác định giá trị, nếu thời hạn còn lại của </w:t>
            </w:r>
            <w:r w:rsidR="00810ADD">
              <w:rPr>
                <w:rFonts w:cs="Times New Roman"/>
                <w:sz w:val="24"/>
                <w:szCs w:val="24"/>
              </w:rPr>
              <w:t>nợ thứ cấp</w:t>
            </w:r>
            <w:r w:rsidRPr="00EF5441">
              <w:rPr>
                <w:rFonts w:cs="Times New Roman"/>
                <w:sz w:val="24"/>
                <w:szCs w:val="24"/>
              </w:rPr>
              <w:t xml:space="preserve"> trên </w:t>
            </w:r>
            <w:r w:rsidR="00A23B06">
              <w:rPr>
                <w:rFonts w:cs="Times New Roman"/>
                <w:sz w:val="24"/>
                <w:szCs w:val="24"/>
              </w:rPr>
              <w:t>0</w:t>
            </w:r>
            <w:r w:rsidRPr="00EF5441">
              <w:rPr>
                <w:rFonts w:cs="Times New Roman"/>
                <w:sz w:val="24"/>
                <w:szCs w:val="24"/>
              </w:rPr>
              <w:t>5 năm, toàn bộ giá trị nợ thứ cấp được tính vào vốn cấp 2.</w:t>
            </w:r>
          </w:p>
          <w:p w14:paraId="547ADCAE"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Bắt đầu từ năm thứ năm trước khi đến hạn thanh toán, mỗi năm tại ngày đầu tiên của năm (tính theo ngày phát hành), giá trị nợ thứ cấp được tính vào vốn cấp 2 sẽ phải được khấu trừ 20% của tổng mệnh giá.</w:t>
            </w:r>
          </w:p>
          <w:p w14:paraId="0870DBD3" w14:textId="77777777" w:rsidR="003171AF" w:rsidRPr="00EF5441" w:rsidRDefault="003171AF" w:rsidP="00CC7D8C">
            <w:pPr>
              <w:spacing w:before="120" w:after="120"/>
              <w:jc w:val="both"/>
              <w:rPr>
                <w:rFonts w:cs="Times New Roman"/>
                <w:sz w:val="24"/>
                <w:szCs w:val="24"/>
              </w:rPr>
            </w:pPr>
          </w:p>
        </w:tc>
      </w:tr>
      <w:tr w:rsidR="003171AF" w:rsidRPr="009948F3" w14:paraId="57D81D94" w14:textId="77777777" w:rsidTr="00FF2701">
        <w:trPr>
          <w:jc w:val="center"/>
        </w:trPr>
        <w:tc>
          <w:tcPr>
            <w:tcW w:w="911" w:type="dxa"/>
            <w:shd w:val="clear" w:color="auto" w:fill="auto"/>
            <w:vAlign w:val="center"/>
          </w:tcPr>
          <w:p w14:paraId="688DDF09" w14:textId="48920EEC" w:rsidR="003171AF" w:rsidRPr="00EF5441" w:rsidRDefault="003171AF" w:rsidP="00CC7D8C">
            <w:pPr>
              <w:spacing w:before="120" w:after="120"/>
              <w:jc w:val="center"/>
              <w:rPr>
                <w:rFonts w:cs="Times New Roman"/>
                <w:sz w:val="24"/>
                <w:szCs w:val="24"/>
              </w:rPr>
            </w:pPr>
            <w:r w:rsidRPr="00EF5441">
              <w:rPr>
                <w:rFonts w:cs="Times New Roman"/>
                <w:sz w:val="24"/>
                <w:szCs w:val="24"/>
              </w:rPr>
              <w:lastRenderedPageBreak/>
              <w:t>(</w:t>
            </w:r>
            <w:r>
              <w:rPr>
                <w:rFonts w:cs="Times New Roman"/>
                <w:sz w:val="24"/>
                <w:szCs w:val="24"/>
              </w:rPr>
              <w:t>1</w:t>
            </w:r>
            <w:r w:rsidR="00FA16BC">
              <w:rPr>
                <w:rFonts w:cs="Times New Roman"/>
                <w:sz w:val="24"/>
                <w:szCs w:val="24"/>
              </w:rPr>
              <w:t>7</w:t>
            </w:r>
            <w:r w:rsidRPr="00EF5441">
              <w:rPr>
                <w:rFonts w:cs="Times New Roman"/>
                <w:sz w:val="24"/>
                <w:szCs w:val="24"/>
              </w:rPr>
              <w:t>)</w:t>
            </w:r>
          </w:p>
        </w:tc>
        <w:tc>
          <w:tcPr>
            <w:tcW w:w="5040" w:type="dxa"/>
            <w:shd w:val="clear" w:color="auto" w:fill="auto"/>
            <w:vAlign w:val="center"/>
          </w:tcPr>
          <w:p w14:paraId="25B2385C" w14:textId="022A6644" w:rsidR="003171AF" w:rsidRPr="00EF5441" w:rsidRDefault="003171AF">
            <w:pPr>
              <w:spacing w:before="120" w:after="120"/>
              <w:jc w:val="both"/>
              <w:rPr>
                <w:rFonts w:cs="Times New Roman"/>
                <w:b/>
                <w:bCs/>
                <w:sz w:val="24"/>
                <w:szCs w:val="24"/>
              </w:rPr>
            </w:pPr>
            <w:r w:rsidRPr="00EF5441">
              <w:rPr>
                <w:rFonts w:cs="Times New Roman"/>
                <w:sz w:val="24"/>
                <w:szCs w:val="24"/>
              </w:rPr>
              <w:t xml:space="preserve">80% dự phòng chung theo quy định về mức trích, phương pháp trích dự phòng rủi ro và sử dụng dự phòng để xử lý rủi ro cho các danh mục </w:t>
            </w:r>
            <w:r w:rsidR="00810ADD">
              <w:rPr>
                <w:rFonts w:cs="Times New Roman"/>
                <w:sz w:val="24"/>
                <w:szCs w:val="24"/>
              </w:rPr>
              <w:t>được</w:t>
            </w:r>
            <w:r w:rsidRPr="00EF5441">
              <w:rPr>
                <w:rFonts w:cs="Times New Roman"/>
                <w:sz w:val="24"/>
                <w:szCs w:val="24"/>
              </w:rPr>
              <w:t xml:space="preserve"> áp dụng phương pháp tiêu chuẩn khi tính tài sản có rủi ro tín dụng</w:t>
            </w:r>
            <w:r w:rsidRPr="00EF5441" w:rsidDel="00FC4D17">
              <w:rPr>
                <w:rFonts w:cs="Times New Roman"/>
                <w:sz w:val="24"/>
                <w:szCs w:val="24"/>
              </w:rPr>
              <w:t xml:space="preserve"> </w:t>
            </w:r>
            <w:r w:rsidR="00810ADD">
              <w:rPr>
                <w:rFonts w:cs="Times New Roman"/>
                <w:sz w:val="24"/>
                <w:szCs w:val="24"/>
              </w:rPr>
              <w:t>khách hàng</w:t>
            </w:r>
          </w:p>
        </w:tc>
        <w:tc>
          <w:tcPr>
            <w:tcW w:w="6945" w:type="dxa"/>
          </w:tcPr>
          <w:p w14:paraId="4128DDF7"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Lấy 80% tổng các khoản mục </w:t>
            </w:r>
            <w:r w:rsidRPr="00EF5441">
              <w:rPr>
                <w:rFonts w:cs="Times New Roman"/>
                <w:b/>
                <w:bCs/>
                <w:sz w:val="24"/>
                <w:szCs w:val="24"/>
              </w:rPr>
              <w:t>Dự phòng chung</w:t>
            </w:r>
            <w:r w:rsidRPr="00EF5441">
              <w:rPr>
                <w:rFonts w:cs="Times New Roman"/>
                <w:sz w:val="24"/>
                <w:szCs w:val="24"/>
              </w:rPr>
              <w:t> trên Báo cáo tình hình tài chính được lập theo số liệu Bảng cân đối tài khoản kế toán.</w:t>
            </w:r>
          </w:p>
        </w:tc>
      </w:tr>
      <w:tr w:rsidR="003171AF" w:rsidRPr="009948F3" w14:paraId="7F2B959C" w14:textId="77777777" w:rsidTr="00FF2701">
        <w:trPr>
          <w:jc w:val="center"/>
        </w:trPr>
        <w:tc>
          <w:tcPr>
            <w:tcW w:w="911" w:type="dxa"/>
            <w:shd w:val="clear" w:color="auto" w:fill="auto"/>
            <w:vAlign w:val="center"/>
          </w:tcPr>
          <w:p w14:paraId="18F3903C" w14:textId="6269CDE1" w:rsidR="003171AF" w:rsidRPr="00EF5441" w:rsidRDefault="003171AF" w:rsidP="00CC7D8C">
            <w:pPr>
              <w:spacing w:before="120" w:after="120"/>
              <w:jc w:val="center"/>
              <w:rPr>
                <w:rFonts w:cs="Times New Roman"/>
                <w:sz w:val="24"/>
                <w:szCs w:val="24"/>
              </w:rPr>
            </w:pPr>
            <w:r w:rsidRPr="00EF5441">
              <w:rPr>
                <w:rFonts w:cs="Times New Roman"/>
                <w:sz w:val="24"/>
                <w:szCs w:val="24"/>
              </w:rPr>
              <w:lastRenderedPageBreak/>
              <w:t>(</w:t>
            </w:r>
            <w:r>
              <w:rPr>
                <w:rFonts w:cs="Times New Roman"/>
                <w:sz w:val="24"/>
                <w:szCs w:val="24"/>
              </w:rPr>
              <w:t>1</w:t>
            </w:r>
            <w:r w:rsidR="00FA16BC">
              <w:rPr>
                <w:rFonts w:cs="Times New Roman"/>
                <w:sz w:val="24"/>
                <w:szCs w:val="24"/>
              </w:rPr>
              <w:t>8</w:t>
            </w:r>
            <w:r w:rsidRPr="00EF5441">
              <w:rPr>
                <w:rFonts w:cs="Times New Roman"/>
                <w:sz w:val="24"/>
                <w:szCs w:val="24"/>
              </w:rPr>
              <w:t>)</w:t>
            </w:r>
          </w:p>
        </w:tc>
        <w:tc>
          <w:tcPr>
            <w:tcW w:w="5040" w:type="dxa"/>
            <w:shd w:val="clear" w:color="auto" w:fill="auto"/>
            <w:vAlign w:val="center"/>
          </w:tcPr>
          <w:p w14:paraId="52F0FCA0" w14:textId="2FA1E165" w:rsidR="003171AF" w:rsidRPr="00EF5441" w:rsidRDefault="003171AF">
            <w:pPr>
              <w:spacing w:before="120" w:after="120"/>
              <w:jc w:val="both"/>
              <w:rPr>
                <w:rFonts w:cs="Times New Roman"/>
                <w:b/>
                <w:bCs/>
                <w:sz w:val="24"/>
                <w:szCs w:val="24"/>
              </w:rPr>
            </w:pPr>
            <w:r w:rsidRPr="00EF5441">
              <w:rPr>
                <w:rFonts w:cs="Times New Roman"/>
                <w:sz w:val="24"/>
                <w:szCs w:val="24"/>
              </w:rPr>
              <w:t>Phần chênh lệch dương giữa dự phòng</w:t>
            </w:r>
            <w:r w:rsidR="00B91913">
              <w:rPr>
                <w:rFonts w:cs="Times New Roman"/>
                <w:sz w:val="24"/>
                <w:szCs w:val="24"/>
              </w:rPr>
              <w:t xml:space="preserve"> </w:t>
            </w:r>
            <w:r w:rsidR="00B91913" w:rsidRPr="00FA16BC">
              <w:rPr>
                <w:rFonts w:cs="Times New Roman"/>
                <w:sz w:val="24"/>
                <w:szCs w:val="24"/>
              </w:rPr>
              <w:t>rủi ro</w:t>
            </w:r>
            <w:r w:rsidRPr="00EF5441">
              <w:rPr>
                <w:rFonts w:cs="Times New Roman"/>
                <w:sz w:val="24"/>
                <w:szCs w:val="24"/>
              </w:rPr>
              <w:t xml:space="preserve"> và tổn thất dự kiến cho danh mục được</w:t>
            </w:r>
            <w:r w:rsidRPr="00EF5441">
              <w:rPr>
                <w:rFonts w:cs="Times New Roman"/>
                <w:i/>
                <w:iCs/>
                <w:sz w:val="24"/>
                <w:szCs w:val="24"/>
              </w:rPr>
              <w:t xml:space="preserve"> </w:t>
            </w:r>
            <w:r w:rsidRPr="00EF5441">
              <w:rPr>
                <w:rFonts w:cs="Times New Roman"/>
                <w:sz w:val="24"/>
                <w:szCs w:val="24"/>
              </w:rPr>
              <w:t xml:space="preserve">áp dụng </w:t>
            </w:r>
            <w:r w:rsidR="00904DDB">
              <w:rPr>
                <w:rFonts w:cs="Times New Roman"/>
                <w:sz w:val="24"/>
                <w:szCs w:val="24"/>
              </w:rPr>
              <w:t>phương pháp xếp hạng nội bộ</w:t>
            </w:r>
            <w:r w:rsidRPr="00EF5441">
              <w:rPr>
                <w:rFonts w:cs="Times New Roman"/>
                <w:sz w:val="24"/>
                <w:szCs w:val="24"/>
              </w:rPr>
              <w:t xml:space="preserve"> khi tính tài sản có rủi ro tín dụng</w:t>
            </w:r>
            <w:r w:rsidR="00810ADD">
              <w:rPr>
                <w:rFonts w:cs="Times New Roman"/>
                <w:sz w:val="24"/>
                <w:szCs w:val="24"/>
              </w:rPr>
              <w:t xml:space="preserve"> khách hàng</w:t>
            </w:r>
          </w:p>
        </w:tc>
        <w:tc>
          <w:tcPr>
            <w:tcW w:w="6945" w:type="dxa"/>
          </w:tcPr>
          <w:p w14:paraId="02187420" w14:textId="7050BD5A" w:rsidR="003171AF" w:rsidRPr="00EF5441" w:rsidRDefault="003171AF">
            <w:pPr>
              <w:spacing w:before="120" w:after="120"/>
              <w:jc w:val="both"/>
              <w:rPr>
                <w:rFonts w:cs="Times New Roman"/>
                <w:sz w:val="24"/>
                <w:szCs w:val="24"/>
              </w:rPr>
            </w:pPr>
            <w:r w:rsidRPr="00EF5441">
              <w:rPr>
                <w:rFonts w:cs="Times New Roman"/>
                <w:sz w:val="24"/>
                <w:szCs w:val="24"/>
              </w:rPr>
              <w:t xml:space="preserve">Chỉ áp dụng cho </w:t>
            </w:r>
            <w:r w:rsidR="00941B70" w:rsidRPr="00B63314">
              <w:rPr>
                <w:rFonts w:cs="Times New Roman"/>
                <w:sz w:val="24"/>
                <w:szCs w:val="24"/>
              </w:rPr>
              <w:t xml:space="preserve">danh mục tài sản </w:t>
            </w:r>
            <w:r w:rsidRPr="00EF5441">
              <w:rPr>
                <w:rFonts w:cs="Times New Roman"/>
                <w:sz w:val="24"/>
                <w:szCs w:val="24"/>
              </w:rPr>
              <w:t>được</w:t>
            </w:r>
            <w:r w:rsidRPr="00EF5441">
              <w:rPr>
                <w:rFonts w:cs="Times New Roman"/>
                <w:i/>
                <w:iCs/>
                <w:sz w:val="24"/>
                <w:szCs w:val="24"/>
              </w:rPr>
              <w:t xml:space="preserve"> </w:t>
            </w:r>
            <w:r w:rsidRPr="00EF5441">
              <w:rPr>
                <w:rFonts w:cs="Times New Roman"/>
                <w:sz w:val="24"/>
                <w:szCs w:val="24"/>
              </w:rPr>
              <w:t xml:space="preserve">các áp dụng </w:t>
            </w:r>
            <w:r w:rsidR="00904DDB">
              <w:rPr>
                <w:rFonts w:cs="Times New Roman"/>
                <w:sz w:val="24"/>
                <w:szCs w:val="24"/>
              </w:rPr>
              <w:t>phương pháp xếp hạng nội bộ</w:t>
            </w:r>
            <w:r w:rsidRPr="00EF5441">
              <w:rPr>
                <w:rFonts w:cs="Times New Roman"/>
                <w:sz w:val="24"/>
                <w:szCs w:val="24"/>
              </w:rPr>
              <w:t xml:space="preserve"> khi tính tài sản có rủi ro tín dụng</w:t>
            </w:r>
            <w:r w:rsidR="00810ADD">
              <w:rPr>
                <w:rFonts w:cs="Times New Roman"/>
                <w:sz w:val="24"/>
                <w:szCs w:val="24"/>
              </w:rPr>
              <w:t xml:space="preserve"> khách hàng</w:t>
            </w:r>
            <w:r w:rsidR="00971BA2">
              <w:rPr>
                <w:rFonts w:cs="Times New Roman"/>
                <w:sz w:val="24"/>
                <w:szCs w:val="24"/>
              </w:rPr>
              <w:t xml:space="preserve"> theo quy định tại khoản 2 Điều </w:t>
            </w:r>
            <w:r w:rsidR="005D174C">
              <w:rPr>
                <w:rFonts w:cs="Times New Roman"/>
                <w:sz w:val="24"/>
                <w:szCs w:val="24"/>
              </w:rPr>
              <w:t>62</w:t>
            </w:r>
            <w:r w:rsidR="00971BA2">
              <w:rPr>
                <w:rFonts w:cs="Times New Roman"/>
                <w:sz w:val="24"/>
                <w:szCs w:val="24"/>
              </w:rPr>
              <w:t xml:space="preserve"> Thông tư này.</w:t>
            </w:r>
          </w:p>
        </w:tc>
      </w:tr>
      <w:tr w:rsidR="003171AF" w:rsidRPr="009948F3" w14:paraId="2385DEF7" w14:textId="77777777" w:rsidTr="00FF2701">
        <w:trPr>
          <w:jc w:val="center"/>
        </w:trPr>
        <w:tc>
          <w:tcPr>
            <w:tcW w:w="911" w:type="dxa"/>
            <w:shd w:val="clear" w:color="auto" w:fill="auto"/>
            <w:vAlign w:val="center"/>
          </w:tcPr>
          <w:p w14:paraId="46178566" w14:textId="77777777" w:rsidR="003171AF" w:rsidRPr="00EF5441" w:rsidRDefault="003171AF" w:rsidP="00CC7D8C">
            <w:pPr>
              <w:spacing w:before="120" w:after="120"/>
              <w:jc w:val="center"/>
              <w:rPr>
                <w:rFonts w:cs="Times New Roman"/>
                <w:sz w:val="24"/>
                <w:szCs w:val="24"/>
              </w:rPr>
            </w:pPr>
          </w:p>
        </w:tc>
        <w:tc>
          <w:tcPr>
            <w:tcW w:w="5040" w:type="dxa"/>
            <w:shd w:val="clear" w:color="auto" w:fill="auto"/>
            <w:vAlign w:val="center"/>
          </w:tcPr>
          <w:p w14:paraId="0F6570E6" w14:textId="77777777" w:rsidR="003171AF" w:rsidRDefault="003171AF" w:rsidP="00CC7D8C">
            <w:pPr>
              <w:spacing w:before="120" w:after="120"/>
              <w:jc w:val="both"/>
              <w:rPr>
                <w:rFonts w:cs="Times New Roman"/>
                <w:b/>
                <w:bCs/>
                <w:sz w:val="24"/>
                <w:szCs w:val="24"/>
              </w:rPr>
            </w:pPr>
            <w:r w:rsidRPr="00EF5441">
              <w:rPr>
                <w:rFonts w:cs="Times New Roman"/>
                <w:b/>
                <w:bCs/>
                <w:sz w:val="24"/>
                <w:szCs w:val="24"/>
              </w:rPr>
              <w:t xml:space="preserve">Các khoản giảm trừ khỏi Vốn cấp 2 </w:t>
            </w:r>
          </w:p>
          <w:p w14:paraId="41A8EF09" w14:textId="1DBEA4C7" w:rsidR="003171AF" w:rsidRPr="00EF5441" w:rsidRDefault="003171AF" w:rsidP="00CC7D8C">
            <w:pPr>
              <w:spacing w:before="120" w:after="120"/>
              <w:jc w:val="both"/>
              <w:rPr>
                <w:rFonts w:cs="Times New Roman"/>
                <w:b/>
                <w:bCs/>
                <w:sz w:val="24"/>
                <w:szCs w:val="24"/>
              </w:rPr>
            </w:pPr>
            <w:r w:rsidRPr="00EF5441">
              <w:rPr>
                <w:rFonts w:cs="Times New Roman"/>
                <w:b/>
                <w:bCs/>
                <w:sz w:val="24"/>
                <w:szCs w:val="24"/>
              </w:rPr>
              <w:t xml:space="preserve">(B2)= </w:t>
            </w:r>
            <w:r w:rsidRPr="00EF5441">
              <w:rPr>
                <w:rFonts w:cs="Times New Roman"/>
                <w:b/>
                <w:bCs/>
                <w:sz w:val="24"/>
                <w:szCs w:val="24"/>
                <w:lang w:val="pt-BR"/>
              </w:rPr>
              <w:t>∑</w:t>
            </w:r>
            <w:r w:rsidR="00FA16BC">
              <w:rPr>
                <w:rFonts w:cs="Times New Roman"/>
                <w:b/>
                <w:bCs/>
                <w:sz w:val="24"/>
                <w:szCs w:val="24"/>
                <w:lang w:val="pt-BR"/>
              </w:rPr>
              <w:t xml:space="preserve">(19) </w:t>
            </w:r>
            <w:r w:rsidRPr="00EF5441">
              <w:rPr>
                <w:rFonts w:cs="Times New Roman"/>
                <w:b/>
                <w:bCs/>
                <w:sz w:val="24"/>
                <w:szCs w:val="24"/>
                <w:lang w:val="pt-BR"/>
              </w:rPr>
              <w:t>÷</w:t>
            </w:r>
            <w:r w:rsidR="00FA16BC">
              <w:rPr>
                <w:rFonts w:cs="Times New Roman"/>
                <w:b/>
                <w:bCs/>
                <w:sz w:val="24"/>
                <w:szCs w:val="24"/>
                <w:lang w:val="pt-BR"/>
              </w:rPr>
              <w:t>(22)</w:t>
            </w:r>
          </w:p>
        </w:tc>
        <w:tc>
          <w:tcPr>
            <w:tcW w:w="6945" w:type="dxa"/>
          </w:tcPr>
          <w:p w14:paraId="08E7110D" w14:textId="77777777" w:rsidR="003171AF" w:rsidRPr="00EF5441" w:rsidRDefault="003171AF" w:rsidP="00CC7D8C">
            <w:pPr>
              <w:spacing w:before="120" w:after="120"/>
              <w:jc w:val="both"/>
              <w:rPr>
                <w:rFonts w:cs="Times New Roman"/>
                <w:sz w:val="24"/>
                <w:szCs w:val="24"/>
              </w:rPr>
            </w:pPr>
          </w:p>
        </w:tc>
      </w:tr>
      <w:tr w:rsidR="003171AF" w:rsidRPr="009948F3" w14:paraId="51135544" w14:textId="77777777" w:rsidTr="00FF2701">
        <w:trPr>
          <w:jc w:val="center"/>
        </w:trPr>
        <w:tc>
          <w:tcPr>
            <w:tcW w:w="911" w:type="dxa"/>
            <w:shd w:val="clear" w:color="auto" w:fill="auto"/>
            <w:vAlign w:val="center"/>
          </w:tcPr>
          <w:p w14:paraId="61C768E5" w14:textId="4019A995" w:rsidR="003171AF" w:rsidRPr="00EF5441" w:rsidRDefault="003171AF" w:rsidP="00CC7D8C">
            <w:pPr>
              <w:spacing w:before="120" w:after="120"/>
              <w:jc w:val="center"/>
              <w:rPr>
                <w:rFonts w:cs="Times New Roman"/>
                <w:sz w:val="24"/>
                <w:szCs w:val="24"/>
              </w:rPr>
            </w:pPr>
            <w:r w:rsidRPr="00EF5441">
              <w:rPr>
                <w:rFonts w:cs="Times New Roman"/>
                <w:sz w:val="24"/>
                <w:szCs w:val="24"/>
              </w:rPr>
              <w:t>(</w:t>
            </w:r>
            <w:r w:rsidR="00FA16BC">
              <w:rPr>
                <w:rFonts w:cs="Times New Roman"/>
                <w:sz w:val="24"/>
                <w:szCs w:val="24"/>
              </w:rPr>
              <w:t>19</w:t>
            </w:r>
            <w:r w:rsidRPr="00EF5441">
              <w:rPr>
                <w:rFonts w:cs="Times New Roman"/>
                <w:sz w:val="24"/>
                <w:szCs w:val="24"/>
              </w:rPr>
              <w:t>)</w:t>
            </w:r>
          </w:p>
        </w:tc>
        <w:tc>
          <w:tcPr>
            <w:tcW w:w="5040" w:type="dxa"/>
            <w:shd w:val="clear" w:color="auto" w:fill="auto"/>
            <w:vAlign w:val="center"/>
          </w:tcPr>
          <w:p w14:paraId="3A0FF7C0" w14:textId="647D187C" w:rsidR="003171AF" w:rsidRPr="00EF5441" w:rsidRDefault="003171AF">
            <w:pPr>
              <w:spacing w:before="120" w:after="120"/>
              <w:jc w:val="both"/>
              <w:rPr>
                <w:rFonts w:cs="Times New Roman"/>
                <w:b/>
                <w:bCs/>
                <w:sz w:val="24"/>
                <w:szCs w:val="24"/>
              </w:rPr>
            </w:pPr>
            <w:r w:rsidRPr="00EF5441">
              <w:rPr>
                <w:rFonts w:cs="Times New Roman"/>
                <w:iCs/>
                <w:sz w:val="24"/>
                <w:szCs w:val="24"/>
              </w:rPr>
              <w:t>Phần giá trị chênh lệch dương giữa khoản mục (</w:t>
            </w:r>
            <w:r w:rsidR="00FA16BC">
              <w:rPr>
                <w:rFonts w:cs="Times New Roman"/>
                <w:iCs/>
                <w:sz w:val="24"/>
                <w:szCs w:val="24"/>
              </w:rPr>
              <w:t>17</w:t>
            </w:r>
            <w:r w:rsidRPr="00EF5441">
              <w:rPr>
                <w:rFonts w:cs="Times New Roman"/>
                <w:iCs/>
                <w:sz w:val="24"/>
                <w:szCs w:val="24"/>
              </w:rPr>
              <w:t xml:space="preserve">) và </w:t>
            </w:r>
            <w:r w:rsidRPr="00EF5441">
              <w:rPr>
                <w:rFonts w:cs="Times New Roman"/>
                <w:sz w:val="24"/>
                <w:szCs w:val="24"/>
              </w:rPr>
              <w:t xml:space="preserve">1,25% “Tổng tài sản </w:t>
            </w:r>
            <w:r w:rsidR="00904DDB">
              <w:rPr>
                <w:rFonts w:cs="Times New Roman"/>
                <w:sz w:val="24"/>
                <w:szCs w:val="24"/>
              </w:rPr>
              <w:t>có</w:t>
            </w:r>
            <w:r w:rsidRPr="00EF5441">
              <w:rPr>
                <w:rFonts w:cs="Times New Roman"/>
                <w:sz w:val="24"/>
                <w:szCs w:val="24"/>
              </w:rPr>
              <w:t xml:space="preserve"> rủi ro tín dụng</w:t>
            </w:r>
            <w:r w:rsidR="00810ADD">
              <w:rPr>
                <w:rFonts w:cs="Times New Roman"/>
                <w:sz w:val="24"/>
                <w:szCs w:val="24"/>
              </w:rPr>
              <w:t xml:space="preserve"> khách hàng</w:t>
            </w:r>
            <w:r w:rsidRPr="00EF5441">
              <w:rPr>
                <w:rFonts w:cs="Times New Roman"/>
                <w:sz w:val="24"/>
                <w:szCs w:val="24"/>
              </w:rPr>
              <w:t xml:space="preserve">” của danh mục được áp dụng phương pháp tiêu chuẩn khi tính tài sản có rủi ro tín dụng </w:t>
            </w:r>
            <w:r w:rsidR="00810ADD">
              <w:rPr>
                <w:rFonts w:cs="Times New Roman"/>
                <w:sz w:val="24"/>
                <w:szCs w:val="24"/>
              </w:rPr>
              <w:t xml:space="preserve">khách hàng </w:t>
            </w:r>
            <w:r w:rsidRPr="00EF5441">
              <w:rPr>
                <w:rFonts w:cs="Times New Roman"/>
                <w:sz w:val="24"/>
                <w:szCs w:val="24"/>
              </w:rPr>
              <w:t>quy định tại Thông tư này</w:t>
            </w:r>
          </w:p>
        </w:tc>
        <w:tc>
          <w:tcPr>
            <w:tcW w:w="6945" w:type="dxa"/>
          </w:tcPr>
          <w:p w14:paraId="11A0636F" w14:textId="2E213161" w:rsidR="003171AF" w:rsidRPr="00EF5441" w:rsidRDefault="003171AF">
            <w:pPr>
              <w:spacing w:before="120" w:after="120"/>
              <w:jc w:val="both"/>
              <w:rPr>
                <w:rFonts w:cs="Times New Roman"/>
                <w:sz w:val="24"/>
                <w:szCs w:val="24"/>
              </w:rPr>
            </w:pPr>
            <w:r w:rsidRPr="00EF5441">
              <w:rPr>
                <w:rFonts w:cs="Times New Roman"/>
                <w:sz w:val="24"/>
                <w:szCs w:val="24"/>
              </w:rPr>
              <w:t>Chỉ áp dụng cho danh mục tài sản được áp dụng phương pháp tiêu chuẩn khi tính tài sản có rủi ro tín dụng</w:t>
            </w:r>
            <w:r w:rsidR="00810ADD">
              <w:rPr>
                <w:rFonts w:cs="Times New Roman"/>
                <w:sz w:val="24"/>
                <w:szCs w:val="24"/>
              </w:rPr>
              <w:t xml:space="preserve"> khách hàng</w:t>
            </w:r>
          </w:p>
        </w:tc>
      </w:tr>
      <w:tr w:rsidR="003171AF" w:rsidRPr="009948F3" w14:paraId="3A1B8DC2" w14:textId="77777777" w:rsidTr="00FF2701">
        <w:trPr>
          <w:jc w:val="center"/>
        </w:trPr>
        <w:tc>
          <w:tcPr>
            <w:tcW w:w="911" w:type="dxa"/>
            <w:shd w:val="clear" w:color="auto" w:fill="auto"/>
            <w:vAlign w:val="center"/>
          </w:tcPr>
          <w:p w14:paraId="6DBAF787" w14:textId="0E16144F" w:rsidR="003171AF" w:rsidRPr="00EF5441" w:rsidRDefault="003171AF" w:rsidP="00CC7D8C">
            <w:pPr>
              <w:spacing w:before="120" w:after="120"/>
              <w:jc w:val="center"/>
              <w:rPr>
                <w:rFonts w:cs="Times New Roman"/>
                <w:sz w:val="24"/>
                <w:szCs w:val="24"/>
              </w:rPr>
            </w:pPr>
            <w:r w:rsidRPr="00EF5441">
              <w:rPr>
                <w:rFonts w:cs="Times New Roman"/>
                <w:sz w:val="24"/>
                <w:szCs w:val="24"/>
              </w:rPr>
              <w:t>(</w:t>
            </w:r>
            <w:r>
              <w:rPr>
                <w:rFonts w:cs="Times New Roman"/>
                <w:sz w:val="24"/>
                <w:szCs w:val="24"/>
              </w:rPr>
              <w:t>2</w:t>
            </w:r>
            <w:r w:rsidR="00FA16BC">
              <w:rPr>
                <w:rFonts w:cs="Times New Roman"/>
                <w:sz w:val="24"/>
                <w:szCs w:val="24"/>
              </w:rPr>
              <w:t>0</w:t>
            </w:r>
            <w:r w:rsidRPr="00EF5441">
              <w:rPr>
                <w:rFonts w:cs="Times New Roman"/>
                <w:sz w:val="24"/>
                <w:szCs w:val="24"/>
              </w:rPr>
              <w:t>)</w:t>
            </w:r>
          </w:p>
        </w:tc>
        <w:tc>
          <w:tcPr>
            <w:tcW w:w="5040" w:type="dxa"/>
            <w:shd w:val="clear" w:color="auto" w:fill="auto"/>
            <w:vAlign w:val="center"/>
          </w:tcPr>
          <w:p w14:paraId="38B6F07A" w14:textId="4A701208" w:rsidR="003171AF" w:rsidRPr="00EF5441" w:rsidRDefault="003171AF">
            <w:pPr>
              <w:spacing w:before="120" w:after="120"/>
              <w:jc w:val="both"/>
              <w:rPr>
                <w:rFonts w:cs="Times New Roman"/>
                <w:b/>
                <w:bCs/>
                <w:iCs/>
                <w:sz w:val="24"/>
                <w:szCs w:val="24"/>
              </w:rPr>
            </w:pPr>
            <w:r w:rsidRPr="00EF5441">
              <w:rPr>
                <w:rFonts w:cs="Times New Roman"/>
                <w:iCs/>
                <w:sz w:val="24"/>
                <w:szCs w:val="24"/>
              </w:rPr>
              <w:t>Phần chênh lệch dương giữa khoản mục (</w:t>
            </w:r>
            <w:r w:rsidR="00FA16BC">
              <w:rPr>
                <w:rFonts w:cs="Times New Roman"/>
                <w:iCs/>
                <w:sz w:val="24"/>
                <w:szCs w:val="24"/>
              </w:rPr>
              <w:t>18</w:t>
            </w:r>
            <w:r w:rsidRPr="00EF5441">
              <w:rPr>
                <w:rFonts w:cs="Times New Roman"/>
                <w:iCs/>
                <w:sz w:val="24"/>
                <w:szCs w:val="24"/>
              </w:rPr>
              <w:t xml:space="preserve">) và 0,6% “Tổng tài sản </w:t>
            </w:r>
            <w:r w:rsidR="00904DDB">
              <w:rPr>
                <w:rFonts w:cs="Times New Roman"/>
                <w:iCs/>
                <w:sz w:val="24"/>
                <w:szCs w:val="24"/>
              </w:rPr>
              <w:t>có</w:t>
            </w:r>
            <w:r w:rsidRPr="00EF5441">
              <w:rPr>
                <w:rFonts w:cs="Times New Roman"/>
                <w:iCs/>
                <w:sz w:val="24"/>
                <w:szCs w:val="24"/>
              </w:rPr>
              <w:t xml:space="preserve"> rủi ro tín dụng</w:t>
            </w:r>
            <w:r w:rsidR="00D822FA">
              <w:rPr>
                <w:rFonts w:cs="Times New Roman"/>
                <w:iCs/>
                <w:sz w:val="24"/>
                <w:szCs w:val="24"/>
              </w:rPr>
              <w:t xml:space="preserve"> khách hàng</w:t>
            </w:r>
            <w:r w:rsidRPr="00EF5441">
              <w:rPr>
                <w:rFonts w:cs="Times New Roman"/>
                <w:iCs/>
                <w:sz w:val="24"/>
                <w:szCs w:val="24"/>
              </w:rPr>
              <w:t xml:space="preserve">” </w:t>
            </w:r>
            <w:r w:rsidRPr="00EF5441">
              <w:rPr>
                <w:rFonts w:cs="Times New Roman"/>
                <w:sz w:val="24"/>
                <w:szCs w:val="24"/>
              </w:rPr>
              <w:t xml:space="preserve">của danh mục được áp dụng </w:t>
            </w:r>
            <w:r w:rsidR="00904DDB">
              <w:rPr>
                <w:rFonts w:cs="Times New Roman"/>
                <w:sz w:val="24"/>
                <w:szCs w:val="24"/>
              </w:rPr>
              <w:t>phương pháp xếp hạng nội bộ</w:t>
            </w:r>
            <w:r w:rsidRPr="00EF5441">
              <w:rPr>
                <w:rFonts w:cs="Times New Roman"/>
                <w:sz w:val="24"/>
                <w:szCs w:val="24"/>
              </w:rPr>
              <w:t xml:space="preserve"> khi tính tài sản có rủi ro tín dụng </w:t>
            </w:r>
            <w:r w:rsidR="00D822FA">
              <w:rPr>
                <w:rFonts w:cs="Times New Roman"/>
                <w:sz w:val="24"/>
                <w:szCs w:val="24"/>
              </w:rPr>
              <w:t xml:space="preserve">khách hàng </w:t>
            </w:r>
            <w:r w:rsidRPr="00EF5441">
              <w:rPr>
                <w:rFonts w:cs="Times New Roman"/>
                <w:sz w:val="24"/>
                <w:szCs w:val="24"/>
              </w:rPr>
              <w:t>quy định tại Thông tư này</w:t>
            </w:r>
          </w:p>
        </w:tc>
        <w:tc>
          <w:tcPr>
            <w:tcW w:w="6945" w:type="dxa"/>
          </w:tcPr>
          <w:p w14:paraId="5D344A84" w14:textId="487094CC" w:rsidR="003171AF" w:rsidRPr="00EF5441" w:rsidRDefault="003171AF">
            <w:pPr>
              <w:spacing w:before="120" w:after="120"/>
              <w:jc w:val="both"/>
              <w:rPr>
                <w:rFonts w:cs="Times New Roman"/>
                <w:sz w:val="24"/>
                <w:szCs w:val="24"/>
              </w:rPr>
            </w:pPr>
            <w:r w:rsidRPr="00EF5441">
              <w:rPr>
                <w:rFonts w:cs="Times New Roman"/>
                <w:sz w:val="24"/>
                <w:szCs w:val="24"/>
              </w:rPr>
              <w:t xml:space="preserve">Chỉ áp dụng cho danh mục tài sản được áp dụng </w:t>
            </w:r>
            <w:r w:rsidR="00904DDB">
              <w:rPr>
                <w:rFonts w:cs="Times New Roman"/>
                <w:sz w:val="24"/>
                <w:szCs w:val="24"/>
              </w:rPr>
              <w:t>phương pháp xếp hạng nội bộ</w:t>
            </w:r>
            <w:r w:rsidRPr="00EF5441">
              <w:rPr>
                <w:rFonts w:cs="Times New Roman"/>
                <w:sz w:val="24"/>
                <w:szCs w:val="24"/>
              </w:rPr>
              <w:t xml:space="preserve"> khi tính tài sản có rủi ro tín dụng</w:t>
            </w:r>
            <w:r w:rsidR="00D822FA">
              <w:rPr>
                <w:rFonts w:cs="Times New Roman"/>
                <w:sz w:val="24"/>
                <w:szCs w:val="24"/>
              </w:rPr>
              <w:t xml:space="preserve"> khách hàng</w:t>
            </w:r>
            <w:r w:rsidR="00971BA2">
              <w:rPr>
                <w:rFonts w:cs="Times New Roman"/>
                <w:sz w:val="24"/>
                <w:szCs w:val="24"/>
              </w:rPr>
              <w:t xml:space="preserve"> theo quy định tại khoản 2 Điều </w:t>
            </w:r>
            <w:r w:rsidR="005D174C">
              <w:rPr>
                <w:rFonts w:cs="Times New Roman"/>
                <w:sz w:val="24"/>
                <w:szCs w:val="24"/>
              </w:rPr>
              <w:t>62</w:t>
            </w:r>
            <w:r w:rsidR="00971BA2">
              <w:rPr>
                <w:rFonts w:cs="Times New Roman"/>
                <w:sz w:val="24"/>
                <w:szCs w:val="24"/>
              </w:rPr>
              <w:t xml:space="preserve"> Thông tư này.</w:t>
            </w:r>
          </w:p>
        </w:tc>
      </w:tr>
      <w:tr w:rsidR="003171AF" w:rsidRPr="009948F3" w14:paraId="7B417880" w14:textId="77777777" w:rsidTr="00FF2701">
        <w:trPr>
          <w:jc w:val="center"/>
        </w:trPr>
        <w:tc>
          <w:tcPr>
            <w:tcW w:w="911" w:type="dxa"/>
            <w:shd w:val="clear" w:color="auto" w:fill="auto"/>
            <w:vAlign w:val="center"/>
          </w:tcPr>
          <w:p w14:paraId="4E1A2338" w14:textId="625F25D1" w:rsidR="003171AF" w:rsidRPr="00EF5441" w:rsidRDefault="003171AF" w:rsidP="00CC7D8C">
            <w:pPr>
              <w:spacing w:before="120" w:after="120"/>
              <w:jc w:val="center"/>
              <w:rPr>
                <w:rFonts w:cs="Times New Roman"/>
                <w:sz w:val="24"/>
                <w:szCs w:val="24"/>
              </w:rPr>
            </w:pPr>
            <w:r w:rsidRPr="00EF5441">
              <w:rPr>
                <w:rFonts w:cs="Times New Roman"/>
                <w:sz w:val="24"/>
                <w:szCs w:val="24"/>
              </w:rPr>
              <w:t>(2</w:t>
            </w:r>
            <w:r w:rsidR="00FA16BC">
              <w:rPr>
                <w:rFonts w:cs="Times New Roman"/>
                <w:sz w:val="24"/>
                <w:szCs w:val="24"/>
              </w:rPr>
              <w:t>1</w:t>
            </w:r>
            <w:r w:rsidRPr="00EF5441">
              <w:rPr>
                <w:rFonts w:cs="Times New Roman"/>
                <w:sz w:val="24"/>
                <w:szCs w:val="24"/>
              </w:rPr>
              <w:t>)</w:t>
            </w:r>
          </w:p>
        </w:tc>
        <w:tc>
          <w:tcPr>
            <w:tcW w:w="5040" w:type="dxa"/>
            <w:shd w:val="clear" w:color="auto" w:fill="auto"/>
            <w:vAlign w:val="center"/>
          </w:tcPr>
          <w:p w14:paraId="5BC5E9B8" w14:textId="2B752462" w:rsidR="003171AF" w:rsidRPr="00EF5441" w:rsidRDefault="003171AF" w:rsidP="00CC7D8C">
            <w:pPr>
              <w:spacing w:before="120" w:after="120"/>
              <w:jc w:val="both"/>
              <w:rPr>
                <w:rFonts w:cs="Times New Roman"/>
                <w:iCs/>
                <w:sz w:val="24"/>
                <w:szCs w:val="24"/>
              </w:rPr>
            </w:pPr>
            <w:r w:rsidRPr="00EF5441">
              <w:rPr>
                <w:rFonts w:cs="Times New Roman"/>
                <w:iCs/>
                <w:sz w:val="24"/>
                <w:szCs w:val="24"/>
              </w:rPr>
              <w:t xml:space="preserve">50% phần chênh lệch dương của tổng mức tổn thất dự kiến so với trích lập dự phòng của danh mục các tài sản </w:t>
            </w:r>
            <w:r w:rsidR="00E72FA9" w:rsidRPr="00E72FA9">
              <w:rPr>
                <w:rFonts w:cs="Times New Roman"/>
                <w:iCs/>
                <w:sz w:val="24"/>
                <w:szCs w:val="24"/>
              </w:rPr>
              <w:t xml:space="preserve">áp dụng </w:t>
            </w:r>
            <w:r w:rsidR="00904DDB" w:rsidRPr="00904DDB">
              <w:rPr>
                <w:rFonts w:cs="Times New Roman"/>
                <w:iCs/>
                <w:sz w:val="24"/>
                <w:szCs w:val="24"/>
              </w:rPr>
              <w:t>phương pháp xếp hạng nội bộ</w:t>
            </w:r>
          </w:p>
        </w:tc>
        <w:tc>
          <w:tcPr>
            <w:tcW w:w="6945" w:type="dxa"/>
          </w:tcPr>
          <w:p w14:paraId="52A41188" w14:textId="2209326C" w:rsidR="003171AF" w:rsidRPr="00EF5441" w:rsidRDefault="003171AF" w:rsidP="00CC7D8C">
            <w:pPr>
              <w:spacing w:before="120" w:after="120"/>
              <w:jc w:val="both"/>
              <w:rPr>
                <w:rFonts w:cs="Times New Roman"/>
                <w:iCs/>
                <w:sz w:val="24"/>
                <w:szCs w:val="24"/>
              </w:rPr>
            </w:pPr>
            <w:r w:rsidRPr="00EF5441">
              <w:rPr>
                <w:rFonts w:cs="Times New Roman"/>
                <w:iCs/>
                <w:sz w:val="24"/>
                <w:szCs w:val="24"/>
              </w:rPr>
              <w:t xml:space="preserve">Chỉ áp dụng trong vòng 02 năm kể từ ngày được Ngân hàng Nhà nước chấp thuận áp dụng </w:t>
            </w:r>
            <w:r w:rsidR="00904DDB">
              <w:rPr>
                <w:rFonts w:cs="Times New Roman"/>
                <w:iCs/>
                <w:sz w:val="24"/>
                <w:szCs w:val="24"/>
              </w:rPr>
              <w:t>phương pháp xếp hạng nội bộ</w:t>
            </w:r>
            <w:r w:rsidR="00971BA2">
              <w:rPr>
                <w:rFonts w:cs="Times New Roman"/>
                <w:iCs/>
                <w:sz w:val="24"/>
                <w:szCs w:val="24"/>
              </w:rPr>
              <w:t xml:space="preserve"> </w:t>
            </w:r>
            <w:r w:rsidR="00971BA2">
              <w:rPr>
                <w:rFonts w:cs="Times New Roman"/>
                <w:sz w:val="24"/>
                <w:szCs w:val="24"/>
              </w:rPr>
              <w:t xml:space="preserve">theo quy định tại khoản 1 Điều </w:t>
            </w:r>
            <w:r w:rsidR="005D174C">
              <w:rPr>
                <w:rFonts w:cs="Times New Roman"/>
                <w:sz w:val="24"/>
                <w:szCs w:val="24"/>
              </w:rPr>
              <w:t>62</w:t>
            </w:r>
            <w:r w:rsidR="00971BA2">
              <w:rPr>
                <w:rFonts w:cs="Times New Roman"/>
                <w:sz w:val="24"/>
                <w:szCs w:val="24"/>
              </w:rPr>
              <w:t xml:space="preserve"> Thông tư này.</w:t>
            </w:r>
            <w:r w:rsidR="00FA16BC">
              <w:rPr>
                <w:rFonts w:cs="Times New Roman"/>
                <w:sz w:val="24"/>
                <w:szCs w:val="24"/>
              </w:rPr>
              <w:t xml:space="preserve"> </w:t>
            </w:r>
            <w:r w:rsidR="00FA16BC" w:rsidRPr="00FA16BC">
              <w:rPr>
                <w:rFonts w:cs="Times New Roman"/>
                <w:sz w:val="24"/>
                <w:szCs w:val="24"/>
              </w:rPr>
              <w:t xml:space="preserve">Kể từ năm thứ </w:t>
            </w:r>
            <w:r w:rsidR="00A23B06">
              <w:rPr>
                <w:rFonts w:cs="Times New Roman"/>
                <w:sz w:val="24"/>
                <w:szCs w:val="24"/>
              </w:rPr>
              <w:t>ba</w:t>
            </w:r>
            <w:r w:rsidR="00FA16BC" w:rsidRPr="00FA16BC">
              <w:rPr>
                <w:rFonts w:cs="Times New Roman"/>
                <w:sz w:val="24"/>
                <w:szCs w:val="24"/>
              </w:rPr>
              <w:t xml:space="preserve"> trở đi, không áp dụng khoản mục này.</w:t>
            </w:r>
          </w:p>
        </w:tc>
      </w:tr>
      <w:tr w:rsidR="003171AF" w:rsidRPr="009948F3" w14:paraId="2DA8BC18" w14:textId="77777777" w:rsidTr="00FF2701">
        <w:trPr>
          <w:jc w:val="center"/>
        </w:trPr>
        <w:tc>
          <w:tcPr>
            <w:tcW w:w="911" w:type="dxa"/>
            <w:shd w:val="clear" w:color="auto" w:fill="auto"/>
            <w:vAlign w:val="center"/>
          </w:tcPr>
          <w:p w14:paraId="19B8CE7F" w14:textId="1FFE7A9B" w:rsidR="003171AF" w:rsidRPr="00EF5441" w:rsidRDefault="003171AF" w:rsidP="00CC7D8C">
            <w:pPr>
              <w:spacing w:before="120" w:after="120"/>
              <w:jc w:val="center"/>
              <w:rPr>
                <w:rFonts w:cs="Times New Roman"/>
                <w:sz w:val="24"/>
                <w:szCs w:val="24"/>
              </w:rPr>
            </w:pPr>
            <w:r w:rsidRPr="00EF5441">
              <w:rPr>
                <w:rFonts w:cs="Times New Roman"/>
                <w:sz w:val="24"/>
                <w:szCs w:val="24"/>
              </w:rPr>
              <w:t>(</w:t>
            </w:r>
            <w:r>
              <w:rPr>
                <w:rFonts w:cs="Times New Roman"/>
                <w:sz w:val="24"/>
                <w:szCs w:val="24"/>
              </w:rPr>
              <w:t>2</w:t>
            </w:r>
            <w:r w:rsidR="00FA16BC">
              <w:rPr>
                <w:rFonts w:cs="Times New Roman"/>
                <w:sz w:val="24"/>
                <w:szCs w:val="24"/>
              </w:rPr>
              <w:t>2</w:t>
            </w:r>
            <w:r w:rsidRPr="00EF5441">
              <w:rPr>
                <w:rFonts w:cs="Times New Roman"/>
                <w:sz w:val="24"/>
                <w:szCs w:val="24"/>
              </w:rPr>
              <w:t>)</w:t>
            </w:r>
          </w:p>
        </w:tc>
        <w:tc>
          <w:tcPr>
            <w:tcW w:w="5040" w:type="dxa"/>
            <w:shd w:val="clear" w:color="auto" w:fill="auto"/>
            <w:vAlign w:val="center"/>
          </w:tcPr>
          <w:p w14:paraId="61D6ABB0"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t xml:space="preserve">Mua, đầu tư nợ thứ cấp của tổ chức tín dụng, chi nhánh ngân hàng nước ngoài khác phát hành đáp ứng đầy đủ các điều kiện để tính vào vốn cấp 2 của tổ chức tín dụng, chi nhánh ngân hàng nước ngoài đó (không bao </w:t>
            </w:r>
            <w:r w:rsidRPr="00EF5441">
              <w:rPr>
                <w:rFonts w:cs="Times New Roman"/>
                <w:sz w:val="24"/>
                <w:szCs w:val="24"/>
              </w:rPr>
              <w:lastRenderedPageBreak/>
              <w:t>gồm nợ thứ cấp nhận làm tài sản bảo đảm, chiết khấu, tái chiết khấu của khách hàng)</w:t>
            </w:r>
          </w:p>
        </w:tc>
        <w:tc>
          <w:tcPr>
            <w:tcW w:w="6945" w:type="dxa"/>
          </w:tcPr>
          <w:p w14:paraId="038558B5" w14:textId="77777777" w:rsidR="003171AF" w:rsidRPr="00EF5441" w:rsidRDefault="003171AF" w:rsidP="00CC7D8C">
            <w:pPr>
              <w:spacing w:before="120" w:after="120"/>
              <w:jc w:val="both"/>
              <w:rPr>
                <w:rFonts w:cs="Times New Roman"/>
                <w:sz w:val="24"/>
                <w:szCs w:val="24"/>
              </w:rPr>
            </w:pPr>
            <w:r w:rsidRPr="00EF5441">
              <w:rPr>
                <w:rFonts w:cs="Times New Roman"/>
                <w:sz w:val="24"/>
                <w:szCs w:val="24"/>
              </w:rPr>
              <w:lastRenderedPageBreak/>
              <w:t xml:space="preserve">Bắt đầu từ năm thứ năm trước khi đến hạn thanh toán, mỗi năm tại ngày đầu tiên của năm (tính theo ngày phát hành), giá trị khoản mua, đầu tư nợ thứ cấp của tổ chức tín dụng, chi nhánh ngân hàng nước ngoài khác phát hành </w:t>
            </w:r>
            <w:r w:rsidRPr="00EF5441">
              <w:rPr>
                <w:rFonts w:cs="Times New Roman"/>
                <w:sz w:val="24"/>
                <w:szCs w:val="24"/>
              </w:rPr>
              <w:lastRenderedPageBreak/>
              <w:t>đáp ứng đầy đủ các điều kiện để tính vào vốn cấp 2 của tổ chức tín dụng, chi nhánh ngân hàng nước ngoài đó sẽ được khấu trừ 20% của tổng giá mua.</w:t>
            </w:r>
          </w:p>
        </w:tc>
      </w:tr>
      <w:tr w:rsidR="003171AF" w:rsidRPr="009948F3" w14:paraId="22DD0655" w14:textId="77777777" w:rsidTr="00FF2701">
        <w:trPr>
          <w:jc w:val="center"/>
        </w:trPr>
        <w:tc>
          <w:tcPr>
            <w:tcW w:w="911" w:type="dxa"/>
            <w:shd w:val="clear" w:color="auto" w:fill="auto"/>
            <w:vAlign w:val="center"/>
          </w:tcPr>
          <w:p w14:paraId="3D44C23B" w14:textId="77777777" w:rsidR="003171AF" w:rsidRPr="00EF5441" w:rsidRDefault="003171AF" w:rsidP="00CC7D8C">
            <w:pPr>
              <w:spacing w:before="120" w:after="120"/>
              <w:jc w:val="center"/>
              <w:rPr>
                <w:rFonts w:cs="Times New Roman"/>
                <w:sz w:val="24"/>
                <w:szCs w:val="24"/>
              </w:rPr>
            </w:pPr>
          </w:p>
        </w:tc>
        <w:tc>
          <w:tcPr>
            <w:tcW w:w="5040" w:type="dxa"/>
            <w:shd w:val="clear" w:color="auto" w:fill="auto"/>
            <w:vAlign w:val="center"/>
          </w:tcPr>
          <w:p w14:paraId="11DC1F4A" w14:textId="77777777" w:rsidR="003171AF" w:rsidRPr="00EF5441" w:rsidRDefault="003171AF" w:rsidP="00CC7D8C">
            <w:pPr>
              <w:spacing w:before="120" w:after="120"/>
              <w:jc w:val="both"/>
              <w:rPr>
                <w:rFonts w:cs="Times New Roman"/>
                <w:iCs/>
                <w:sz w:val="24"/>
                <w:szCs w:val="24"/>
              </w:rPr>
            </w:pPr>
            <w:r w:rsidRPr="00EF5441">
              <w:rPr>
                <w:rFonts w:cs="Times New Roman"/>
                <w:b/>
                <w:bCs/>
                <w:sz w:val="24"/>
                <w:szCs w:val="24"/>
                <w:lang w:val="pt-BR"/>
              </w:rPr>
              <w:t>VỐN TỰ CÓ (C) = (A) + (B)</w:t>
            </w:r>
          </w:p>
        </w:tc>
        <w:tc>
          <w:tcPr>
            <w:tcW w:w="6945" w:type="dxa"/>
          </w:tcPr>
          <w:p w14:paraId="44A902CB" w14:textId="77777777" w:rsidR="003171AF" w:rsidRPr="00EF5441" w:rsidRDefault="003171AF" w:rsidP="00CC7D8C">
            <w:pPr>
              <w:spacing w:before="120" w:after="120"/>
              <w:jc w:val="both"/>
              <w:rPr>
                <w:rFonts w:cs="Times New Roman"/>
                <w:sz w:val="24"/>
                <w:szCs w:val="24"/>
              </w:rPr>
            </w:pPr>
          </w:p>
        </w:tc>
      </w:tr>
    </w:tbl>
    <w:p w14:paraId="1448A387" w14:textId="77777777" w:rsidR="003171AF" w:rsidRDefault="003171AF" w:rsidP="00CC7D8C">
      <w:pPr>
        <w:spacing w:before="120" w:after="120" w:line="240" w:lineRule="auto"/>
        <w:ind w:firstLine="567"/>
        <w:rPr>
          <w:rFonts w:cs="Times New Roman"/>
          <w:sz w:val="26"/>
          <w:szCs w:val="28"/>
        </w:rPr>
      </w:pPr>
    </w:p>
    <w:bookmarkEnd w:id="5"/>
    <w:p w14:paraId="23E2095F" w14:textId="033F251A" w:rsidR="000C22DA" w:rsidRDefault="000C22DA"/>
    <w:sectPr w:rsidR="000C22DA" w:rsidSect="00FF2701">
      <w:headerReference w:type="default" r:id="rId8"/>
      <w:footerReference w:type="default" r:id="rId9"/>
      <w:pgSz w:w="16839"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C0A4D" w14:textId="77777777" w:rsidR="001945D1" w:rsidRDefault="001945D1">
      <w:pPr>
        <w:spacing w:after="0" w:line="240" w:lineRule="auto"/>
      </w:pPr>
      <w:r>
        <w:separator/>
      </w:r>
    </w:p>
  </w:endnote>
  <w:endnote w:type="continuationSeparator" w:id="0">
    <w:p w14:paraId="165B5A06" w14:textId="77777777" w:rsidR="001945D1" w:rsidRDefault="001945D1">
      <w:pPr>
        <w:spacing w:after="0" w:line="240" w:lineRule="auto"/>
      </w:pPr>
      <w:r>
        <w:continuationSeparator/>
      </w:r>
    </w:p>
  </w:endnote>
  <w:endnote w:type="continuationNotice" w:id="1">
    <w:p w14:paraId="189C41D8" w14:textId="77777777" w:rsidR="001945D1" w:rsidRDefault="00194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7CBC6" w14:textId="77777777" w:rsidR="00CF38B8" w:rsidRDefault="00CF38B8" w:rsidP="00606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455F2" w14:textId="77777777" w:rsidR="001945D1" w:rsidRDefault="001945D1">
      <w:pPr>
        <w:spacing w:after="0" w:line="240" w:lineRule="auto"/>
      </w:pPr>
      <w:r>
        <w:separator/>
      </w:r>
    </w:p>
  </w:footnote>
  <w:footnote w:type="continuationSeparator" w:id="0">
    <w:p w14:paraId="12A26E77" w14:textId="77777777" w:rsidR="001945D1" w:rsidRDefault="001945D1">
      <w:pPr>
        <w:spacing w:after="0" w:line="240" w:lineRule="auto"/>
      </w:pPr>
      <w:r>
        <w:continuationSeparator/>
      </w:r>
    </w:p>
  </w:footnote>
  <w:footnote w:type="continuationNotice" w:id="1">
    <w:p w14:paraId="1EB19A76" w14:textId="77777777" w:rsidR="001945D1" w:rsidRDefault="001945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381350"/>
      <w:docPartObj>
        <w:docPartGallery w:val="Page Numbers (Top of Page)"/>
        <w:docPartUnique/>
      </w:docPartObj>
    </w:sdtPr>
    <w:sdtEndPr>
      <w:rPr>
        <w:noProof/>
      </w:rPr>
    </w:sdtEndPr>
    <w:sdtContent>
      <w:p w14:paraId="318E4074" w14:textId="77777777" w:rsidR="00CF38B8" w:rsidRDefault="00CF38B8">
        <w:pPr>
          <w:pStyle w:val="Header"/>
          <w:jc w:val="center"/>
        </w:pPr>
        <w:r>
          <w:fldChar w:fldCharType="begin"/>
        </w:r>
        <w:r>
          <w:instrText xml:space="preserve"> PAGE   \* MERGEFORMAT </w:instrText>
        </w:r>
        <w:r>
          <w:fldChar w:fldCharType="separate"/>
        </w:r>
        <w:r w:rsidR="00606FDA">
          <w:rPr>
            <w:noProof/>
          </w:rPr>
          <w:t>24</w:t>
        </w:r>
        <w:r>
          <w:rPr>
            <w:noProof/>
          </w:rPr>
          <w:fldChar w:fldCharType="end"/>
        </w:r>
      </w:p>
    </w:sdtContent>
  </w:sdt>
  <w:p w14:paraId="394B6BCC" w14:textId="77777777" w:rsidR="00CF38B8" w:rsidRDefault="00CF38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C6F98"/>
    <w:multiLevelType w:val="hybridMultilevel"/>
    <w:tmpl w:val="484028D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16478"/>
    <w:multiLevelType w:val="hybridMultilevel"/>
    <w:tmpl w:val="D25A41C6"/>
    <w:lvl w:ilvl="0" w:tplc="903823F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755F2"/>
    <w:multiLevelType w:val="hybridMultilevel"/>
    <w:tmpl w:val="C0E45F46"/>
    <w:lvl w:ilvl="0" w:tplc="8822EE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1AF"/>
    <w:rsid w:val="000173DC"/>
    <w:rsid w:val="000448C1"/>
    <w:rsid w:val="000C22DA"/>
    <w:rsid w:val="000F0C84"/>
    <w:rsid w:val="00112ABE"/>
    <w:rsid w:val="00131C28"/>
    <w:rsid w:val="00144180"/>
    <w:rsid w:val="00160DD8"/>
    <w:rsid w:val="00187122"/>
    <w:rsid w:val="001945D1"/>
    <w:rsid w:val="00197BB3"/>
    <w:rsid w:val="001E59A8"/>
    <w:rsid w:val="00227A2F"/>
    <w:rsid w:val="00273DEF"/>
    <w:rsid w:val="00285E16"/>
    <w:rsid w:val="00295D0E"/>
    <w:rsid w:val="003171AF"/>
    <w:rsid w:val="00347204"/>
    <w:rsid w:val="00381FC7"/>
    <w:rsid w:val="003A5CAA"/>
    <w:rsid w:val="00413F1B"/>
    <w:rsid w:val="0042665E"/>
    <w:rsid w:val="00433E20"/>
    <w:rsid w:val="004463ED"/>
    <w:rsid w:val="004466E8"/>
    <w:rsid w:val="00480C34"/>
    <w:rsid w:val="00487EB3"/>
    <w:rsid w:val="004A5513"/>
    <w:rsid w:val="004B6980"/>
    <w:rsid w:val="004F4BD4"/>
    <w:rsid w:val="00513039"/>
    <w:rsid w:val="00515B14"/>
    <w:rsid w:val="005260E9"/>
    <w:rsid w:val="00555CF2"/>
    <w:rsid w:val="005C3926"/>
    <w:rsid w:val="005D174C"/>
    <w:rsid w:val="005D5EF2"/>
    <w:rsid w:val="005F43FA"/>
    <w:rsid w:val="005F4E95"/>
    <w:rsid w:val="005F578B"/>
    <w:rsid w:val="00606FDA"/>
    <w:rsid w:val="0061643D"/>
    <w:rsid w:val="00616B50"/>
    <w:rsid w:val="0062765D"/>
    <w:rsid w:val="006706B9"/>
    <w:rsid w:val="0067417C"/>
    <w:rsid w:val="006746E2"/>
    <w:rsid w:val="006767D5"/>
    <w:rsid w:val="006916FF"/>
    <w:rsid w:val="00694FD8"/>
    <w:rsid w:val="006C220C"/>
    <w:rsid w:val="00716B46"/>
    <w:rsid w:val="0073115B"/>
    <w:rsid w:val="00747E9C"/>
    <w:rsid w:val="007501CD"/>
    <w:rsid w:val="007C2B89"/>
    <w:rsid w:val="007D0D41"/>
    <w:rsid w:val="007D6562"/>
    <w:rsid w:val="007E55AB"/>
    <w:rsid w:val="007F7D07"/>
    <w:rsid w:val="00810ADD"/>
    <w:rsid w:val="0082652E"/>
    <w:rsid w:val="008771B5"/>
    <w:rsid w:val="00890357"/>
    <w:rsid w:val="00904DDB"/>
    <w:rsid w:val="0092334B"/>
    <w:rsid w:val="00941B70"/>
    <w:rsid w:val="00971BA2"/>
    <w:rsid w:val="009947D0"/>
    <w:rsid w:val="00A23B06"/>
    <w:rsid w:val="00A5287A"/>
    <w:rsid w:val="00A549F0"/>
    <w:rsid w:val="00A572B9"/>
    <w:rsid w:val="00A7405C"/>
    <w:rsid w:val="00AE38E9"/>
    <w:rsid w:val="00AF6C33"/>
    <w:rsid w:val="00B56325"/>
    <w:rsid w:val="00B84F92"/>
    <w:rsid w:val="00B91913"/>
    <w:rsid w:val="00B94597"/>
    <w:rsid w:val="00B95B76"/>
    <w:rsid w:val="00BA6B44"/>
    <w:rsid w:val="00BC3659"/>
    <w:rsid w:val="00BF26BD"/>
    <w:rsid w:val="00C32221"/>
    <w:rsid w:val="00C32A2C"/>
    <w:rsid w:val="00C50B96"/>
    <w:rsid w:val="00C86BAC"/>
    <w:rsid w:val="00CB016C"/>
    <w:rsid w:val="00CC7D8C"/>
    <w:rsid w:val="00CE6627"/>
    <w:rsid w:val="00CF38B8"/>
    <w:rsid w:val="00D166D8"/>
    <w:rsid w:val="00D233A9"/>
    <w:rsid w:val="00D34F10"/>
    <w:rsid w:val="00D538D0"/>
    <w:rsid w:val="00D62A38"/>
    <w:rsid w:val="00D822FA"/>
    <w:rsid w:val="00DA2412"/>
    <w:rsid w:val="00DC691A"/>
    <w:rsid w:val="00E13B7E"/>
    <w:rsid w:val="00E1489D"/>
    <w:rsid w:val="00E72FA9"/>
    <w:rsid w:val="00EA2703"/>
    <w:rsid w:val="00EC2FCE"/>
    <w:rsid w:val="00EE693F"/>
    <w:rsid w:val="00F14654"/>
    <w:rsid w:val="00F32DDD"/>
    <w:rsid w:val="00F33BBC"/>
    <w:rsid w:val="00F34BEE"/>
    <w:rsid w:val="00F4129A"/>
    <w:rsid w:val="00F64AD4"/>
    <w:rsid w:val="00F878FC"/>
    <w:rsid w:val="00FA16BC"/>
    <w:rsid w:val="00FA6BAC"/>
    <w:rsid w:val="00FB08CF"/>
    <w:rsid w:val="00FD0D76"/>
    <w:rsid w:val="00FF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30C6"/>
  <w15:docId w15:val="{0ED40921-1C5B-41AB-8312-448DEE53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1AF"/>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1AF"/>
    <w:pPr>
      <w:ind w:left="720"/>
      <w:contextualSpacing/>
    </w:pPr>
  </w:style>
  <w:style w:type="paragraph" w:styleId="Header">
    <w:name w:val="header"/>
    <w:basedOn w:val="Normal"/>
    <w:link w:val="HeaderChar"/>
    <w:uiPriority w:val="99"/>
    <w:unhideWhenUsed/>
    <w:rsid w:val="00317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1AF"/>
    <w:rPr>
      <w:rFonts w:ascii="Times New Roman" w:hAnsi="Times New Roman"/>
      <w:kern w:val="2"/>
      <w:sz w:val="28"/>
      <w14:ligatures w14:val="standardContextual"/>
    </w:rPr>
  </w:style>
  <w:style w:type="character" w:styleId="Hyperlink">
    <w:name w:val="Hyperlink"/>
    <w:basedOn w:val="DefaultParagraphFont"/>
    <w:uiPriority w:val="99"/>
    <w:unhideWhenUsed/>
    <w:rsid w:val="003171AF"/>
    <w:rPr>
      <w:color w:val="0563C1" w:themeColor="hyperlink"/>
      <w:u w:val="single"/>
    </w:rPr>
  </w:style>
  <w:style w:type="paragraph" w:styleId="BalloonText">
    <w:name w:val="Balloon Text"/>
    <w:basedOn w:val="Normal"/>
    <w:link w:val="BalloonTextChar"/>
    <w:uiPriority w:val="99"/>
    <w:semiHidden/>
    <w:unhideWhenUsed/>
    <w:rsid w:val="007F7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D07"/>
    <w:rPr>
      <w:rFonts w:ascii="Tahoma" w:hAnsi="Tahoma" w:cs="Tahoma"/>
      <w:kern w:val="2"/>
      <w:sz w:val="16"/>
      <w:szCs w:val="16"/>
      <w14:ligatures w14:val="standardContextual"/>
    </w:rPr>
  </w:style>
  <w:style w:type="paragraph" w:styleId="Footer">
    <w:name w:val="footer"/>
    <w:basedOn w:val="Normal"/>
    <w:link w:val="FooterChar"/>
    <w:uiPriority w:val="99"/>
    <w:unhideWhenUsed/>
    <w:rsid w:val="006C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20C"/>
    <w:rPr>
      <w:rFonts w:ascii="Times New Roman" w:hAnsi="Times New Roman"/>
      <w:kern w:val="2"/>
      <w:sz w:val="28"/>
      <w14:ligatures w14:val="standardContextual"/>
    </w:rPr>
  </w:style>
  <w:style w:type="paragraph" w:styleId="Revision">
    <w:name w:val="Revision"/>
    <w:hidden/>
    <w:uiPriority w:val="99"/>
    <w:semiHidden/>
    <w:rsid w:val="00381FC7"/>
    <w:pPr>
      <w:spacing w:after="0" w:line="240" w:lineRule="auto"/>
    </w:pPr>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56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52544-78D7-4AF2-A3D4-DD740D4D04D1}">
  <ds:schemaRefs>
    <ds:schemaRef ds:uri="http://schemas.openxmlformats.org/officeDocument/2006/bibliography"/>
  </ds:schemaRefs>
</ds:datastoreItem>
</file>

<file path=customXml/itemProps2.xml><?xml version="1.0" encoding="utf-8"?>
<ds:datastoreItem xmlns:ds="http://schemas.openxmlformats.org/officeDocument/2006/customXml" ds:itemID="{2725FFC0-90FB-46F4-A53F-84485BF59027}"/>
</file>

<file path=customXml/itemProps3.xml><?xml version="1.0" encoding="utf-8"?>
<ds:datastoreItem xmlns:ds="http://schemas.openxmlformats.org/officeDocument/2006/customXml" ds:itemID="{8C6CD8EB-053F-41DB-9391-A4D292E21AB1}"/>
</file>

<file path=customXml/itemProps4.xml><?xml version="1.0" encoding="utf-8"?>
<ds:datastoreItem xmlns:ds="http://schemas.openxmlformats.org/officeDocument/2006/customXml" ds:itemID="{E60737D8-3976-4D43-BFDC-1F2A053D6DE7}"/>
</file>

<file path=docProps/app.xml><?xml version="1.0" encoding="utf-8"?>
<Properties xmlns="http://schemas.openxmlformats.org/officeDocument/2006/extended-properties" xmlns:vt="http://schemas.openxmlformats.org/officeDocument/2006/docPropsVTypes">
  <Template>Normal</Template>
  <TotalTime>14</TotalTime>
  <Pages>24</Pages>
  <Words>5501</Words>
  <Characters>31357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Thi Diep Linh (ATHTTCTD)</cp:lastModifiedBy>
  <cp:revision>8</cp:revision>
  <cp:lastPrinted>2025-07-10T14:02:00Z</cp:lastPrinted>
  <dcterms:created xsi:type="dcterms:W3CDTF">2025-07-10T15:01:00Z</dcterms:created>
  <dcterms:modified xsi:type="dcterms:W3CDTF">2025-07-14T10:39:00Z</dcterms:modified>
</cp:coreProperties>
</file>